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第四章 嵌入式软件设计</w:t>
      </w:r>
    </w:p>
    <w:p>
      <w:pPr>
        <w:pStyle w:val="Heading2"/>
      </w:pPr>
      <w:r>
        <w:t>4.1 软件总体结构</w:t>
      </w:r>
    </w:p>
    <w:p>
      <w:pPr>
        <w:spacing w:after="100" w:line="360" w:lineRule="auto"/>
        <w:ind w:firstLineChars="200"/>
      </w:pPr>
      <w:r>
        <w:t>STM32 端软件主要负责传送带控制、光电开关检测、串口通信和气缸剔除动作。系统基于 STM32CubeMX 生成的 HAL 工程开发，并引入 FreeRTOS 实时操作系统，将不同功能划分为独立任务，避免所有逻辑集中在单一主循环中。</w:t>
      </w:r>
    </w:p>
    <w:p>
      <w:pPr>
        <w:spacing w:after="100" w:line="360" w:lineRule="auto"/>
        <w:ind w:firstLineChars="200"/>
      </w:pPr>
      <w:r>
        <w:t>程序初始化阶段依次完成 HAL 库初始化、系统时钟配置、GPIO 初始化、TIM2 初始化和 USART1 初始化。随后启动 TIM2 PWM 输出，使传送带具备运行条件；再初始化 FreeRTOS 内核，创建任务和信号量，最后调用 `osKernelStart()` 启动调度器。调度器启动后，系统主要由 FreeRTOS 任务完成运行控制。</w:t>
      </w:r>
    </w:p>
    <w:p>
      <w:pPr>
        <w:spacing w:after="100" w:line="360" w:lineRule="auto"/>
        <w:ind w:firstLineChars="200"/>
      </w:pPr>
      <w:r>
        <w:t>STM32 端软件流程可以概括为：光电开关检测到产品到位后，控制任务停止传送带并通知串口任务；串口任务向 Jetson 发送触发帧并等待检测结果；控制任务根据返回结果决定是否驱动气缸剔除；动作完成后恢复传送带运行。</w:t>
      </w:r>
    </w:p>
    <w:p>
      <w:pPr>
        <w:pStyle w:val="Heading2"/>
      </w:pPr>
      <w:r>
        <w:t>4.2 FreeRTOS 配置</w:t>
      </w:r>
    </w:p>
    <w:p>
      <w:pPr>
        <w:spacing w:after="100" w:line="360" w:lineRule="auto"/>
        <w:ind w:firstLineChars="200"/>
      </w:pPr>
      <w:r>
        <w:t>系统使用 FreeRTOS 进行多任务调度，并通过 CMSIS-RTOS V2 接口创建任务和信号量。由于 STM32F103C6 的 SRAM 仅 10 KB，FreeRTOS 配置需要尽量精简。当前工程中 `configTOTAL_HEAP_SIZE` 设置为 4800 字节，`configMINIMAL_STACK_SIZE` 设置为 128，软件定时器任务栈深度设置为 128，在满足任务运行需求的同时保留一定内存余量。</w:t>
      </w:r>
    </w:p>
    <w:p>
      <w:pPr>
        <w:spacing w:after="100" w:line="360" w:lineRule="auto"/>
        <w:ind w:firstLineChars="200"/>
      </w:pPr>
      <w:r>
        <w:t>系统采用抢占式调度，`configUSE_PREEMPTION` 设置为 1，系统节拍频率为 1000 Hz。该配置能够满足光电开关轮询、串口等待和气缸动作延时等控制需求。考虑到本系统任务数量较少，任务优先级设计保持简单：控制任务优先级高于检测任务和串口任务，使传送带启停和分拣动作能够及时执行。</w:t>
      </w:r>
    </w:p>
    <w:p>
      <w:pPr>
        <w:spacing w:after="100" w:line="360" w:lineRule="auto"/>
        <w:ind w:firstLineChars="200"/>
      </w:pPr>
      <w:r>
        <w:t>系统创建的主要任务如下：</w:t>
      </w:r>
    </w:p>
    <w:p>
      <w:pPr>
        <w:spacing w:after="100" w:line="360" w:lineRule="auto"/>
        <w:ind w:firstLineChars="200"/>
      </w:pPr>
      <w:r>
        <w:t>| 任务名称 | 优先级 | 主要功能 |</w:t>
      </w:r>
    </w:p>
    <w:p>
      <w:pPr>
        <w:spacing w:after="100" w:line="360" w:lineRule="auto"/>
        <w:ind w:firstLineChars="200"/>
      </w:pPr>
      <w:r>
        <w:t>| --- | --- | --- |</w:t>
      </w:r>
    </w:p>
    <w:p>
      <w:pPr>
        <w:spacing w:after="100" w:line="360" w:lineRule="auto"/>
        <w:ind w:firstLineChars="200"/>
      </w:pPr>
      <w:r>
        <w:t>| DetectTask | Normal | 轮询光电开关并进行去抖 |</w:t>
      </w:r>
    </w:p>
    <w:p>
      <w:pPr>
        <w:spacing w:after="100" w:line="360" w:lineRule="auto"/>
        <w:ind w:firstLineChars="200"/>
      </w:pPr>
      <w:r>
        <w:t>| ControlTask | AboveNormal | 控制传送带启停和气缸动作 |</w:t>
      </w:r>
    </w:p>
    <w:p>
      <w:pPr>
        <w:spacing w:after="100" w:line="360" w:lineRule="auto"/>
        <w:ind w:firstLineChars="200"/>
      </w:pPr>
      <w:r>
        <w:t>| UartTask | Normal | 发送触发帧并接收 Jetson 回复 |</w:t>
      </w:r>
    </w:p>
    <w:p>
      <w:pPr>
        <w:spacing w:after="100" w:line="360" w:lineRule="auto"/>
        <w:ind w:firstLineChars="200"/>
      </w:pPr>
      <w:r>
        <w:t>| defaultTask | Normal | 默认空闲任务 |</w:t>
      </w:r>
    </w:p>
    <w:p>
      <w:pPr>
        <w:spacing w:after="100" w:line="360" w:lineRule="auto"/>
        <w:ind w:firstLineChars="200"/>
      </w:pPr>
      <w:r>
        <w:t>这种任务划分使检测、通信和控制逻辑相互独立，便于维护和调试。</w:t>
      </w:r>
    </w:p>
    <w:p>
      <w:pPr>
        <w:pStyle w:val="Heading2"/>
      </w:pPr>
      <w:r>
        <w:t>4.3 多任务协同设计</w:t>
      </w:r>
    </w:p>
    <w:p>
      <w:pPr>
        <w:spacing w:after="100" w:line="360" w:lineRule="auto"/>
        <w:ind w:firstLineChars="200"/>
      </w:pPr>
      <w:r>
        <w:t>系统通过三个信号量完成任务同步，分别为 `detectSemHandle`、`uartSemHandle` 和 `uartDoneSemHandle`。信号量用于连接检测、通信和控制三个步骤，使系统按照固定顺序运行。</w:t>
      </w:r>
    </w:p>
    <w:p>
      <w:pPr>
        <w:spacing w:after="100" w:line="360" w:lineRule="auto"/>
        <w:ind w:firstLineChars="200"/>
      </w:pPr>
      <w:r>
        <w:t>DetectTask 负责检测产品到位。当 PA6 光电开关输出低电平时，任务延时 20 ms 后再次读取引脚状态，若仍为低电平，则认为触发有效，并释放 `detectSemHandle` 通知控制任务。为了避免同一产品重复触发，任务会等待光电开关恢复高电平后再继续检测。</w:t>
      </w:r>
    </w:p>
    <w:p>
      <w:pPr>
        <w:spacing w:after="100" w:line="360" w:lineRule="auto"/>
        <w:ind w:firstLineChars="200"/>
      </w:pPr>
      <w:r>
        <w:t>ControlTask 是系统流程的核心任务。任务等待 `detectSemHandle`，收到触发后先关闭传送带使能信号，使产品停在拍照位置；随后释放 `uartSemHandle` 通知串口任务发送触发帧，并等待 `uartDoneSemHandle`。当串口任务完成接收并更新检测结果后，ControlTask 根据结果执行剔除或放行动作，最后重新使能传送带。</w:t>
      </w:r>
    </w:p>
    <w:p>
      <w:pPr>
        <w:spacing w:after="100" w:line="360" w:lineRule="auto"/>
        <w:ind w:firstLineChars="200"/>
      </w:pPr>
      <w:r>
        <w:t>UartTask 负责与 Jetson Nano 通信。任务等待 `uartSemHandle`，收到信号后组装并发送触发帧，然后阻塞等待 Jetson 回复。若接收到有效回复帧，则更新全局变量 `g_uartReply`；若超时或校验失败，则将结果置为正常放行。处理完成后释放 `uartDoneSemHandle`，通知控制任务继续执行。</w:t>
      </w:r>
    </w:p>
    <w:p>
      <w:pPr>
        <w:spacing w:after="100" w:line="360" w:lineRule="auto"/>
        <w:ind w:firstLineChars="200"/>
      </w:pPr>
      <w:r>
        <w:t>通过上述设计，系统形成了“检测任务触发、控制任务调度、串口任务通信、控制任务执行”的流水线流程。该方式减少了任务之间的直接耦合，也避免了不同功能同时操作传送带状态造成混乱。</w:t>
      </w:r>
    </w:p>
    <w:p>
      <w:pPr>
        <w:pStyle w:val="Heading2"/>
      </w:pPr>
      <w:r>
        <w:t>4.4 串口通信协议设计</w:t>
      </w:r>
    </w:p>
    <w:p>
      <w:pPr>
        <w:spacing w:after="100" w:line="360" w:lineRule="auto"/>
        <w:ind w:firstLineChars="200"/>
      </w:pPr>
      <w:r>
        <w:t>STM32 与 Jetson Nano 之间采用 UART 串口通信，波特率为 9600，数据格式为 8N1。通信内容较少，因此采用固定长度短帧协议，便于 MCU 解析。</w:t>
      </w:r>
    </w:p>
    <w:p>
      <w:pPr>
        <w:spacing w:after="100" w:line="360" w:lineRule="auto"/>
        <w:ind w:firstLineChars="200"/>
      </w:pPr>
      <w:r>
        <w:t>STM32 向 Jetson 发送的触发帧长度为 6 字节，格式如下：</w:t>
      </w:r>
    </w:p>
    <w:p>
      <w:pPr>
        <w:spacing w:after="100" w:line="360" w:lineRule="auto"/>
        <w:ind w:firstLineChars="200"/>
      </w:pPr>
      <w:r>
        <w:t>| 字节 | 含义 |</w:t>
      </w:r>
    </w:p>
    <w:p>
      <w:pPr>
        <w:spacing w:after="100" w:line="360" w:lineRule="auto"/>
        <w:ind w:firstLineChars="200"/>
      </w:pPr>
      <w:r>
        <w:t>| --- | --- |</w:t>
      </w:r>
    </w:p>
    <w:p>
      <w:pPr>
        <w:spacing w:after="100" w:line="360" w:lineRule="auto"/>
        <w:ind w:firstLineChars="200"/>
      </w:pPr>
      <w:r>
        <w:t>| 0xAA | 帧头 1 |</w:t>
      </w:r>
    </w:p>
    <w:p>
      <w:pPr>
        <w:spacing w:after="100" w:line="360" w:lineRule="auto"/>
        <w:ind w:firstLineChars="200"/>
      </w:pPr>
      <w:r>
        <w:t>| 0x55 | 帧头 2 |</w:t>
      </w:r>
    </w:p>
    <w:p>
      <w:pPr>
        <w:spacing w:after="100" w:line="360" w:lineRule="auto"/>
        <w:ind w:firstLineChars="200"/>
      </w:pPr>
      <w:r>
        <w:t>| 0x10 | 命令字 |</w:t>
      </w:r>
    </w:p>
    <w:p>
      <w:pPr>
        <w:spacing w:after="100" w:line="360" w:lineRule="auto"/>
        <w:ind w:firstLineChars="200"/>
      </w:pPr>
      <w:r>
        <w:t>| PAY0 | 数据字节 0 |</w:t>
      </w:r>
    </w:p>
    <w:p>
      <w:pPr>
        <w:spacing w:after="100" w:line="360" w:lineRule="auto"/>
        <w:ind w:firstLineChars="200"/>
      </w:pPr>
      <w:r>
        <w:t>| PAY1 | 数据字节 1 |</w:t>
      </w:r>
    </w:p>
    <w:p>
      <w:pPr>
        <w:spacing w:after="100" w:line="360" w:lineRule="auto"/>
        <w:ind w:firstLineChars="200"/>
      </w:pPr>
      <w:r>
        <w:t>| XOR | 校验字节 |</w:t>
      </w:r>
    </w:p>
    <w:p>
      <w:pPr>
        <w:spacing w:after="100" w:line="360" w:lineRule="auto"/>
        <w:ind w:firstLineChars="200"/>
      </w:pPr>
      <w:r>
        <w:t>其中校验字节由命令字和两个数据字节异或得到，即 `XOR = CMD ^ PAY0 ^ PAY1`。当前程序中数据字节作为固定占位数据，主要用于触发 Jetson 拍照推理。</w:t>
      </w:r>
    </w:p>
    <w:p>
      <w:pPr>
        <w:spacing w:after="100" w:line="360" w:lineRule="auto"/>
        <w:ind w:firstLineChars="200"/>
      </w:pPr>
      <w:r>
        <w:t>Jetson 向 STM32 返回的判定帧长度为 3 字节，格式为 `BB STATUS XOR`。其中 `0xBB` 为帧头，`STATUS=0x01` 表示缺陷品，需要剔除；`STATUS=0x02` 表示正常品，直接放行；校验字节为 `0xBB ^ STATUS`。</w:t>
      </w:r>
    </w:p>
    <w:p>
      <w:pPr>
        <w:spacing w:after="100" w:line="360" w:lineRule="auto"/>
        <w:ind w:firstLineChars="200"/>
      </w:pPr>
      <w:r>
        <w:t>为提高系统容错能力，STM32 接收回复时设置 30 s 超时时间。若在规定时间内未收到回复，或回复帧校验失败，系统默认按正常品放行处理。该策略可以避免通信异常导致传送带长时间停止，保证系统能够继续运行。</w:t>
      </w:r>
    </w:p>
    <w:p>
      <w:pPr>
        <w:pStyle w:val="Heading2"/>
      </w:pPr>
      <w:r>
        <w:t>4.5 电机与气缸控制</w:t>
      </w:r>
    </w:p>
    <w:p>
      <w:pPr>
        <w:spacing w:after="100" w:line="360" w:lineRule="auto"/>
        <w:ind w:firstLineChars="200"/>
      </w:pPr>
      <w:r>
        <w:t>传送带电机由 STM32 的 TIM2_CH1 输出 PWM 脉冲，经 TB6600 驱动器控制步进电机转动。TIM2 预分频系数设置为 71，计数时钟为 1 MHz；自动重装载值设置为 2999，因此 PWM 频率约为 333 Hz。主程序在启动调度器前设置比较值并启动 PWM 输出。</w:t>
      </w:r>
    </w:p>
    <w:p>
      <w:pPr>
        <w:spacing w:after="100" w:line="360" w:lineRule="auto"/>
        <w:ind w:firstLineChars="200"/>
      </w:pPr>
      <w:r>
        <w:t>步进电机速度主要由 PWM 频率决定。当需要改变传送带速度时，可通过调整 TIM2 的 Period 改变输出频率；占空比主要影响脉冲宽度，保持在合理范围即可。当前系统采用较低频率运行，有助于降低电机启动失步风险。</w:t>
      </w:r>
    </w:p>
    <w:p>
      <w:pPr>
        <w:spacing w:after="100" w:line="360" w:lineRule="auto"/>
        <w:ind w:firstLineChars="200"/>
      </w:pPr>
      <w:r>
        <w:t>传送带启停通过 ENA 引脚控制。系统空闲时传送带保持运行，检测到产品后 ControlTask 将 ENA 置为停止状态，等待 Jetson 完成推理并返回结果；分拣处理完成后，再恢复 ENA 状态，使传送带继续运行。</w:t>
      </w:r>
    </w:p>
    <w:p>
      <w:pPr>
        <w:spacing w:after="100" w:line="360" w:lineRule="auto"/>
        <w:ind w:firstLineChars="200"/>
      </w:pPr>
      <w:r>
        <w:t>气缸剔除由 PA7 控制。当检测结果为缺陷品时，ControlTask 将 PA7 置为高电平，电磁阀动作并驱动气缸推出；延时 1000 ms 后 PA7 恢复低电平，气缸复位。若检测结果为正常品或通信异常，则不触发气缸，产品随传送带继续前进。</w:t>
      </w:r>
    </w:p>
    <w:p>
      <w:pPr>
        <w:pStyle w:val="Heading2"/>
      </w:pPr>
      <w:r>
        <w:t>4.6 本章小结</w:t>
      </w:r>
    </w:p>
    <w:p>
      <w:pPr>
        <w:spacing w:after="100" w:line="360" w:lineRule="auto"/>
        <w:ind w:firstLineChars="200"/>
      </w:pPr>
      <w:r>
        <w:t>本章介绍了 STM32 端嵌入式软件设计。系统基于 FreeRTOS 将光电检测、串口通信和分拣控制划分为多个任务，并通过三个信号量实现任务同步；同时设计了轻量级 UART 通信协议，使 STM32 能够触发 Jetson 推理并接收检测结果；在执行控制方面，系统通过 TIM2 PWM 控制步进电机，通过 GPIO 控制气缸电磁阀。该软件结构实现了传送带检测与分拣流程的闭环控制，为后续边缘 AI 推理系统和整体联调提供了基础。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eastAsia="宋体" w:hAnsi="Times New Roman"/>
      <w:sz w:val="24"/>
    </w:rPr>
  </w:style>
  <w:style w:type="paragraph" w:styleId="Heading1">
    <w:name w:val="heading 1"/>
    <w:basedOn w:val="Normal"/>
    <w:next w:val="Normal"/>
    <w:qFormat/>
    <w:pPr>
      <w:spacing w:before="360" w:after="240"/>
      <w:jc w:val="center"/>
    </w:pPr>
    <w:rPr>
      <w:b/>
      <w:rFonts w:ascii="Times New Roman" w:eastAsia="黑体" w:hAnsi="Times New Roman"/>
      <w:sz w:val="32"/>
    </w:rPr>
  </w:style>
  <w:style w:type="paragraph" w:styleId="Heading2">
    <w:name w:val="heading 2"/>
    <w:basedOn w:val="Normal"/>
    <w:next w:val="Normal"/>
    <w:qFormat/>
    <w:pPr>
      <w:spacing w:before="240" w:after="160"/>
    </w:pPr>
    <w:rPr>
      <w:b/>
      <w:rFonts w:ascii="Times New Roman" w:eastAsia="黑体" w:hAnsi="Times New Roman"/>
      <w:sz w:val="28"/>
    </w:rPr>
  </w:style>
  <w:style w:type="paragraph" w:styleId="Heading3">
    <w:name w:val="heading 3"/>
    <w:basedOn w:val="Normal"/>
    <w:next w:val="Normal"/>
    <w:qFormat/>
    <w:pPr>
      <w:spacing w:before="200" w:after="120"/>
    </w:pPr>
    <w:rPr>
      <w:b/>
      <w:rFonts w:ascii="Times New Roman" w:eastAsia="黑体" w:hAnsi="Times New Roman"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