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3EBBD" w14:textId="77777777" w:rsidR="00116D99" w:rsidRDefault="003652E5">
      <w:pPr>
        <w:spacing w:after="40"/>
      </w:pPr>
      <w:r>
        <w:rPr>
          <w:b/>
          <w:bCs/>
          <w:color w:val="1F3864"/>
          <w:sz w:val="26"/>
          <w:szCs w:val="26"/>
        </w:rPr>
        <w:t>SITIAME CAPITAL</w:t>
      </w:r>
    </w:p>
    <w:p w14:paraId="0AD79E89" w14:textId="77777777" w:rsidR="00116D99" w:rsidRDefault="003652E5">
      <w:pPr>
        <w:pBdr>
          <w:bottom w:val="single" w:sz="18" w:space="6" w:color="B8860B"/>
        </w:pBdr>
        <w:spacing w:after="260"/>
      </w:pPr>
      <w:r>
        <w:rPr>
          <w:i/>
          <w:iCs/>
          <w:color w:val="B8860B"/>
          <w:sz w:val="20"/>
          <w:szCs w:val="20"/>
        </w:rPr>
        <w:t>Note de cadrage produit — Confidentiel</w:t>
      </w:r>
    </w:p>
    <w:p w14:paraId="0CE99E54" w14:textId="77777777" w:rsidR="00116D99" w:rsidRDefault="003652E5">
      <w:pPr>
        <w:spacing w:before="200" w:after="100"/>
      </w:pPr>
      <w:r>
        <w:rPr>
          <w:b/>
          <w:bCs/>
          <w:color w:val="1F3864"/>
          <w:sz w:val="42"/>
          <w:szCs w:val="42"/>
        </w:rPr>
        <w:t>PME360 — Roadmap modules</w:t>
      </w:r>
    </w:p>
    <w:p w14:paraId="796BA499" w14:textId="77777777" w:rsidR="00116D99" w:rsidRDefault="003652E5">
      <w:pPr>
        <w:spacing w:after="60"/>
      </w:pPr>
      <w:r>
        <w:rPr>
          <w:color w:val="2E4A7D"/>
          <w:sz w:val="26"/>
          <w:szCs w:val="26"/>
        </w:rPr>
        <w:t>Paiement mobile, facturation et gestion de stock</w:t>
      </w:r>
    </w:p>
    <w:p w14:paraId="3196889B" w14:textId="77777777" w:rsidR="00116D99" w:rsidRDefault="003652E5">
      <w:pPr>
        <w:spacing w:after="240"/>
      </w:pPr>
      <w:r>
        <w:rPr>
          <w:i/>
          <w:iCs/>
          <w:color w:val="595959"/>
        </w:rPr>
        <w:t>Priorisation, impacts réglementaires SYSCOHADA / UEMOA et architecture cible</w:t>
      </w:r>
    </w:p>
    <w:tbl>
      <w:tblPr>
        <w:tblW w:w="9360" w:type="dxa"/>
        <w:tblBorders>
          <w:top w:val="single" w:sz="4" w:space="0" w:color="1F3864"/>
          <w:left w:val="single" w:sz="2" w:space="0" w:color="BBBBBB"/>
          <w:bottom w:val="single" w:sz="4" w:space="0" w:color="1F3864"/>
          <w:right w:val="single" w:sz="2" w:space="0" w:color="BBBBBB"/>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2400"/>
        <w:gridCol w:w="6960"/>
      </w:tblGrid>
      <w:tr w:rsidR="00116D99" w14:paraId="744E4EFA"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770361EB" w14:textId="77777777" w:rsidR="00116D99" w:rsidRDefault="003652E5">
            <w:r>
              <w:rPr>
                <w:b/>
                <w:bCs/>
                <w:color w:val="FFFFFF"/>
                <w:sz w:val="20"/>
                <w:szCs w:val="20"/>
              </w:rPr>
              <w:t>Rubrique</w:t>
            </w:r>
          </w:p>
        </w:tc>
        <w:tc>
          <w:tcPr>
            <w:tcW w:w="6960" w:type="dxa"/>
            <w:shd w:val="clear" w:color="auto" w:fill="1F3864"/>
            <w:tcMar>
              <w:top w:w="80" w:type="dxa"/>
              <w:left w:w="120" w:type="dxa"/>
              <w:bottom w:w="80" w:type="dxa"/>
              <w:right w:w="120" w:type="dxa"/>
            </w:tcMar>
          </w:tcPr>
          <w:p w14:paraId="57D07CBD" w14:textId="77777777" w:rsidR="00116D99" w:rsidRDefault="003652E5">
            <w:r>
              <w:rPr>
                <w:b/>
                <w:bCs/>
                <w:color w:val="FFFFFF"/>
                <w:sz w:val="20"/>
                <w:szCs w:val="20"/>
              </w:rPr>
              <w:t>Détail</w:t>
            </w:r>
          </w:p>
        </w:tc>
      </w:tr>
      <w:tr w:rsidR="00116D99" w14:paraId="26C65302" w14:textId="77777777">
        <w:tblPrEx>
          <w:tblCellMar>
            <w:top w:w="0" w:type="dxa"/>
            <w:bottom w:w="0" w:type="dxa"/>
          </w:tblCellMar>
        </w:tblPrEx>
        <w:tc>
          <w:tcPr>
            <w:tcW w:w="2400" w:type="dxa"/>
            <w:shd w:val="clear" w:color="auto" w:fill="FFFFFF"/>
            <w:tcMar>
              <w:top w:w="70" w:type="dxa"/>
              <w:left w:w="120" w:type="dxa"/>
              <w:bottom w:w="70" w:type="dxa"/>
              <w:right w:w="120" w:type="dxa"/>
            </w:tcMar>
          </w:tcPr>
          <w:p w14:paraId="7B38B15F" w14:textId="77777777" w:rsidR="00116D99" w:rsidRDefault="003652E5">
            <w:r>
              <w:rPr>
                <w:color w:val="222222"/>
                <w:sz w:val="20"/>
                <w:szCs w:val="20"/>
              </w:rPr>
              <w:t>Objet</w:t>
            </w:r>
          </w:p>
        </w:tc>
        <w:tc>
          <w:tcPr>
            <w:tcW w:w="6960" w:type="dxa"/>
            <w:shd w:val="clear" w:color="auto" w:fill="FFFFFF"/>
            <w:tcMar>
              <w:top w:w="70" w:type="dxa"/>
              <w:left w:w="120" w:type="dxa"/>
              <w:bottom w:w="70" w:type="dxa"/>
              <w:right w:w="120" w:type="dxa"/>
            </w:tcMar>
          </w:tcPr>
          <w:p w14:paraId="48F98093" w14:textId="77777777" w:rsidR="00116D99" w:rsidRDefault="003652E5">
            <w:r>
              <w:rPr>
                <w:color w:val="222222"/>
                <w:sz w:val="20"/>
                <w:szCs w:val="20"/>
              </w:rPr>
              <w:t>Arbitrer l'ajout de modules à PME360 : paiement mobile, facturation, gestion de stock</w:t>
            </w:r>
          </w:p>
        </w:tc>
      </w:tr>
      <w:tr w:rsidR="00116D99" w14:paraId="2F7C0B49" w14:textId="77777777">
        <w:tblPrEx>
          <w:tblCellMar>
            <w:top w:w="0" w:type="dxa"/>
            <w:bottom w:w="0" w:type="dxa"/>
          </w:tblCellMar>
        </w:tblPrEx>
        <w:tc>
          <w:tcPr>
            <w:tcW w:w="2400" w:type="dxa"/>
            <w:shd w:val="clear" w:color="auto" w:fill="EAEEF6"/>
            <w:tcMar>
              <w:top w:w="70" w:type="dxa"/>
              <w:left w:w="120" w:type="dxa"/>
              <w:bottom w:w="70" w:type="dxa"/>
              <w:right w:w="120" w:type="dxa"/>
            </w:tcMar>
          </w:tcPr>
          <w:p w14:paraId="216B31C5" w14:textId="77777777" w:rsidR="00116D99" w:rsidRDefault="003652E5">
            <w:r>
              <w:rPr>
                <w:color w:val="222222"/>
                <w:sz w:val="20"/>
                <w:szCs w:val="20"/>
              </w:rPr>
              <w:t>Destinataires</w:t>
            </w:r>
          </w:p>
        </w:tc>
        <w:tc>
          <w:tcPr>
            <w:tcW w:w="6960" w:type="dxa"/>
            <w:shd w:val="clear" w:color="auto" w:fill="EAEEF6"/>
            <w:tcMar>
              <w:top w:w="70" w:type="dxa"/>
              <w:left w:w="120" w:type="dxa"/>
              <w:bottom w:w="70" w:type="dxa"/>
              <w:right w:w="120" w:type="dxa"/>
            </w:tcMar>
          </w:tcPr>
          <w:p w14:paraId="28611554" w14:textId="77777777" w:rsidR="00116D99" w:rsidRDefault="003652E5">
            <w:r>
              <w:rPr>
                <w:color w:val="222222"/>
                <w:sz w:val="20"/>
                <w:szCs w:val="20"/>
              </w:rPr>
              <w:t>Direction produit — SITIAME Capital</w:t>
            </w:r>
          </w:p>
        </w:tc>
      </w:tr>
      <w:tr w:rsidR="00116D99" w14:paraId="380449F4" w14:textId="77777777">
        <w:tblPrEx>
          <w:tblCellMar>
            <w:top w:w="0" w:type="dxa"/>
            <w:bottom w:w="0" w:type="dxa"/>
          </w:tblCellMar>
        </w:tblPrEx>
        <w:tc>
          <w:tcPr>
            <w:tcW w:w="2400" w:type="dxa"/>
            <w:shd w:val="clear" w:color="auto" w:fill="FFFFFF"/>
            <w:tcMar>
              <w:top w:w="70" w:type="dxa"/>
              <w:left w:w="120" w:type="dxa"/>
              <w:bottom w:w="70" w:type="dxa"/>
              <w:right w:w="120" w:type="dxa"/>
            </w:tcMar>
          </w:tcPr>
          <w:p w14:paraId="44C9CC35" w14:textId="77777777" w:rsidR="00116D99" w:rsidRDefault="003652E5">
            <w:r>
              <w:rPr>
                <w:color w:val="222222"/>
                <w:sz w:val="20"/>
                <w:szCs w:val="20"/>
              </w:rPr>
              <w:t>Cadre comptable</w:t>
            </w:r>
          </w:p>
        </w:tc>
        <w:tc>
          <w:tcPr>
            <w:tcW w:w="6960" w:type="dxa"/>
            <w:shd w:val="clear" w:color="auto" w:fill="FFFFFF"/>
            <w:tcMar>
              <w:top w:w="70" w:type="dxa"/>
              <w:left w:w="120" w:type="dxa"/>
              <w:bottom w:w="70" w:type="dxa"/>
              <w:right w:w="120" w:type="dxa"/>
            </w:tcMar>
          </w:tcPr>
          <w:p w14:paraId="0CABDB2F" w14:textId="77777777" w:rsidR="00116D99" w:rsidRDefault="003652E5">
            <w:r>
              <w:rPr>
                <w:color w:val="222222"/>
                <w:sz w:val="20"/>
                <w:szCs w:val="20"/>
              </w:rPr>
              <w:t>SYSCOHADA révisé — zone UEMOA / OHADA</w:t>
            </w:r>
          </w:p>
        </w:tc>
      </w:tr>
      <w:tr w:rsidR="00116D99" w14:paraId="33C0DD9F" w14:textId="77777777">
        <w:tblPrEx>
          <w:tblCellMar>
            <w:top w:w="0" w:type="dxa"/>
            <w:bottom w:w="0" w:type="dxa"/>
          </w:tblCellMar>
        </w:tblPrEx>
        <w:tc>
          <w:tcPr>
            <w:tcW w:w="2400" w:type="dxa"/>
            <w:shd w:val="clear" w:color="auto" w:fill="EAEEF6"/>
            <w:tcMar>
              <w:top w:w="70" w:type="dxa"/>
              <w:left w:w="120" w:type="dxa"/>
              <w:bottom w:w="70" w:type="dxa"/>
              <w:right w:w="120" w:type="dxa"/>
            </w:tcMar>
          </w:tcPr>
          <w:p w14:paraId="1795F21B" w14:textId="77777777" w:rsidR="00116D99" w:rsidRDefault="003652E5">
            <w:r>
              <w:rPr>
                <w:color w:val="222222"/>
                <w:sz w:val="20"/>
                <w:szCs w:val="20"/>
              </w:rPr>
              <w:t>Date</w:t>
            </w:r>
          </w:p>
        </w:tc>
        <w:tc>
          <w:tcPr>
            <w:tcW w:w="6960" w:type="dxa"/>
            <w:shd w:val="clear" w:color="auto" w:fill="EAEEF6"/>
            <w:tcMar>
              <w:top w:w="70" w:type="dxa"/>
              <w:left w:w="120" w:type="dxa"/>
              <w:bottom w:w="70" w:type="dxa"/>
              <w:right w:w="120" w:type="dxa"/>
            </w:tcMar>
          </w:tcPr>
          <w:p w14:paraId="6E75AED4" w14:textId="77777777" w:rsidR="00116D99" w:rsidRDefault="003652E5">
            <w:r>
              <w:rPr>
                <w:color w:val="222222"/>
                <w:sz w:val="20"/>
                <w:szCs w:val="20"/>
              </w:rPr>
              <w:t>12 juillet 2026</w:t>
            </w:r>
          </w:p>
        </w:tc>
      </w:tr>
      <w:tr w:rsidR="00116D99" w14:paraId="359E239A" w14:textId="77777777">
        <w:tblPrEx>
          <w:tblCellMar>
            <w:top w:w="0" w:type="dxa"/>
            <w:bottom w:w="0" w:type="dxa"/>
          </w:tblCellMar>
        </w:tblPrEx>
        <w:tc>
          <w:tcPr>
            <w:tcW w:w="2400" w:type="dxa"/>
            <w:shd w:val="clear" w:color="auto" w:fill="FFFFFF"/>
            <w:tcMar>
              <w:top w:w="70" w:type="dxa"/>
              <w:left w:w="120" w:type="dxa"/>
              <w:bottom w:w="70" w:type="dxa"/>
              <w:right w:w="120" w:type="dxa"/>
            </w:tcMar>
          </w:tcPr>
          <w:p w14:paraId="0902F81A" w14:textId="77777777" w:rsidR="00116D99" w:rsidRDefault="003652E5">
            <w:r>
              <w:rPr>
                <w:color w:val="222222"/>
                <w:sz w:val="20"/>
                <w:szCs w:val="20"/>
              </w:rPr>
              <w:t>Statut</w:t>
            </w:r>
          </w:p>
        </w:tc>
        <w:tc>
          <w:tcPr>
            <w:tcW w:w="6960" w:type="dxa"/>
            <w:shd w:val="clear" w:color="auto" w:fill="FFFFFF"/>
            <w:tcMar>
              <w:top w:w="70" w:type="dxa"/>
              <w:left w:w="120" w:type="dxa"/>
              <w:bottom w:w="70" w:type="dxa"/>
              <w:right w:w="120" w:type="dxa"/>
            </w:tcMar>
          </w:tcPr>
          <w:p w14:paraId="51F4C108" w14:textId="77777777" w:rsidR="00116D99" w:rsidRDefault="003652E5">
            <w:r>
              <w:rPr>
                <w:b/>
                <w:bCs/>
                <w:color w:val="B8860B"/>
                <w:sz w:val="20"/>
                <w:szCs w:val="20"/>
              </w:rPr>
              <w:t>Document de travail — à valider</w:t>
            </w:r>
          </w:p>
        </w:tc>
      </w:tr>
    </w:tbl>
    <w:p w14:paraId="0EC8A0AB" w14:textId="77777777" w:rsidR="00116D99" w:rsidRDefault="00116D99">
      <w:pPr>
        <w:spacing w:after="200"/>
      </w:pPr>
    </w:p>
    <w:p w14:paraId="41C86BCE" w14:textId="77777777" w:rsidR="00116D99" w:rsidRDefault="003652E5">
      <w:pPr>
        <w:pStyle w:val="Titre1"/>
        <w:pBdr>
          <w:bottom w:val="single" w:sz="12" w:space="4" w:color="B8860B"/>
        </w:pBdr>
        <w:spacing w:before="320" w:after="140"/>
      </w:pPr>
      <w:r>
        <w:rPr>
          <w:b/>
          <w:bCs/>
          <w:color w:val="1F3864"/>
          <w:sz w:val="30"/>
          <w:szCs w:val="30"/>
        </w:rPr>
        <w:t>1. La question posée</w:t>
      </w:r>
    </w:p>
    <w:p w14:paraId="40DC93B4" w14:textId="77777777" w:rsidR="00116D99" w:rsidRDefault="003652E5">
      <w:pPr>
        <w:spacing w:after="120" w:line="276" w:lineRule="auto"/>
      </w:pPr>
      <w:r>
        <w:rPr>
          <w:color w:val="222222"/>
        </w:rPr>
        <w:t xml:space="preserve">Faut-il intégrer à PME360 les </w:t>
      </w:r>
      <w:r>
        <w:rPr>
          <w:b/>
          <w:bCs/>
          <w:color w:val="222222"/>
        </w:rPr>
        <w:t>API de paiement mobile</w:t>
      </w:r>
      <w:r>
        <w:rPr>
          <w:color w:val="222222"/>
        </w:rPr>
        <w:t xml:space="preserve"> dans le module de trésorerie, et ajouter des modules de </w:t>
      </w:r>
      <w:r>
        <w:rPr>
          <w:b/>
          <w:bCs/>
          <w:color w:val="222222"/>
        </w:rPr>
        <w:t>facturation</w:t>
      </w:r>
      <w:r>
        <w:rPr>
          <w:color w:val="222222"/>
        </w:rPr>
        <w:t xml:space="preserve"> et de </w:t>
      </w:r>
      <w:r>
        <w:rPr>
          <w:b/>
          <w:bCs/>
          <w:color w:val="222222"/>
        </w:rPr>
        <w:t>gestion de stock</w:t>
      </w:r>
      <w:r>
        <w:rPr>
          <w:color w:val="222222"/>
        </w:rPr>
        <w:t xml:space="preserve"> aux fonctionnalités existantes ?</w:t>
      </w:r>
    </w:p>
    <w:p w14:paraId="691B405F" w14:textId="77777777" w:rsidR="00116D99" w:rsidRDefault="003652E5">
      <w:pPr>
        <w:spacing w:after="120" w:line="276" w:lineRule="auto"/>
      </w:pPr>
      <w:r>
        <w:rPr>
          <w:color w:val="222222"/>
        </w:rPr>
        <w:t xml:space="preserve">La réponse dépend d'un choix de positionnement : PME360 doit-il rester un </w:t>
      </w:r>
      <w:r>
        <w:rPr>
          <w:i/>
          <w:iCs/>
          <w:color w:val="222222"/>
        </w:rPr>
        <w:t>outil de pilotage financier</w:t>
      </w:r>
      <w:r>
        <w:rPr>
          <w:color w:val="222222"/>
        </w:rPr>
        <w:t xml:space="preserve">, ou devenir une </w:t>
      </w:r>
      <w:r>
        <w:rPr>
          <w:i/>
          <w:iCs/>
          <w:color w:val="222222"/>
        </w:rPr>
        <w:t>plateforme opérationnelle de gestion</w:t>
      </w:r>
      <w:r>
        <w:rPr>
          <w:color w:val="222222"/>
        </w:rPr>
        <w:t xml:space="preserve"> ? Le risque principal n'est pas de manquer de modules, mais la </w:t>
      </w:r>
      <w:r>
        <w:rPr>
          <w:b/>
          <w:bCs/>
          <w:color w:val="B03A3A"/>
        </w:rPr>
        <w:t>dispersion</w:t>
      </w:r>
      <w:r>
        <w:rPr>
          <w:color w:val="222222"/>
        </w:rPr>
        <w:t>.</w:t>
      </w:r>
    </w:p>
    <w:p w14:paraId="55817080" w14:textId="77777777" w:rsidR="00116D99" w:rsidRDefault="003652E5">
      <w:pPr>
        <w:pStyle w:val="Titre1"/>
        <w:pBdr>
          <w:bottom w:val="single" w:sz="12" w:space="4" w:color="B8860B"/>
        </w:pBdr>
        <w:spacing w:before="320" w:after="140"/>
      </w:pPr>
      <w:r>
        <w:rPr>
          <w:b/>
          <w:bCs/>
          <w:color w:val="1F3864"/>
          <w:sz w:val="30"/>
          <w:szCs w:val="30"/>
        </w:rPr>
        <w:t>2. API de paiement mobile (</w:t>
      </w:r>
      <w:proofErr w:type="spellStart"/>
      <w:r>
        <w:rPr>
          <w:b/>
          <w:bCs/>
          <w:color w:val="1F3864"/>
          <w:sz w:val="30"/>
          <w:szCs w:val="30"/>
        </w:rPr>
        <w:t>Wave</w:t>
      </w:r>
      <w:proofErr w:type="spellEnd"/>
      <w:r>
        <w:rPr>
          <w:b/>
          <w:bCs/>
          <w:color w:val="1F3864"/>
          <w:sz w:val="30"/>
          <w:szCs w:val="30"/>
        </w:rPr>
        <w:t xml:space="preserve">, Orange Money, MTN </w:t>
      </w:r>
      <w:proofErr w:type="spellStart"/>
      <w:r>
        <w:rPr>
          <w:b/>
          <w:bCs/>
          <w:color w:val="1F3864"/>
          <w:sz w:val="30"/>
          <w:szCs w:val="30"/>
        </w:rPr>
        <w:t>MoMo</w:t>
      </w:r>
      <w:proofErr w:type="spellEnd"/>
      <w:r>
        <w:rPr>
          <w:b/>
          <w:bCs/>
          <w:color w:val="1F3864"/>
          <w:sz w:val="30"/>
          <w:szCs w:val="30"/>
        </w:rPr>
        <w:t>)</w:t>
      </w:r>
    </w:p>
    <w:p w14:paraId="61C5BF3B" w14:textId="77777777" w:rsidR="00116D99" w:rsidRDefault="003652E5">
      <w:pPr>
        <w:spacing w:after="120" w:line="276" w:lineRule="auto"/>
      </w:pPr>
      <w:r>
        <w:rPr>
          <w:color w:val="222222"/>
        </w:rPr>
        <w:t xml:space="preserve">C'est le point le plus différenciant. En Afrique de l'Ouest francophone, la trésorerie réelle d'une PME transite majoritairement par le </w:t>
      </w:r>
      <w:r>
        <w:rPr>
          <w:b/>
          <w:bCs/>
          <w:color w:val="222222"/>
        </w:rPr>
        <w:t>Mobile Money</w:t>
      </w:r>
      <w:r>
        <w:rPr>
          <w:color w:val="222222"/>
        </w:rPr>
        <w:t>, et non par les comptes bancaires. Deux niveaux d'intégration doivent être distingués.</w:t>
      </w:r>
    </w:p>
    <w:tbl>
      <w:tblPr>
        <w:tblW w:w="9360" w:type="dxa"/>
        <w:tblBorders>
          <w:top w:val="single" w:sz="4" w:space="0" w:color="1F3864"/>
          <w:left w:val="single" w:sz="2" w:space="0" w:color="BBBBBB"/>
          <w:bottom w:val="single" w:sz="4" w:space="0" w:color="1F3864"/>
          <w:right w:val="single" w:sz="2" w:space="0" w:color="BBBBBB"/>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2000"/>
        <w:gridCol w:w="4360"/>
        <w:gridCol w:w="1400"/>
        <w:gridCol w:w="1600"/>
      </w:tblGrid>
      <w:tr w:rsidR="00116D99" w14:paraId="69F2D6B3"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tcPr>
          <w:p w14:paraId="7A462760" w14:textId="77777777" w:rsidR="00116D99" w:rsidRDefault="003652E5">
            <w:r>
              <w:rPr>
                <w:b/>
                <w:bCs/>
                <w:color w:val="FFFFFF"/>
                <w:sz w:val="20"/>
                <w:szCs w:val="20"/>
              </w:rPr>
              <w:t>Niveau</w:t>
            </w:r>
          </w:p>
        </w:tc>
        <w:tc>
          <w:tcPr>
            <w:tcW w:w="4360" w:type="dxa"/>
            <w:shd w:val="clear" w:color="auto" w:fill="1F3864"/>
            <w:tcMar>
              <w:top w:w="80" w:type="dxa"/>
              <w:left w:w="120" w:type="dxa"/>
              <w:bottom w:w="80" w:type="dxa"/>
              <w:right w:w="120" w:type="dxa"/>
            </w:tcMar>
          </w:tcPr>
          <w:p w14:paraId="7061921F" w14:textId="77777777" w:rsidR="00116D99" w:rsidRDefault="003652E5">
            <w:r>
              <w:rPr>
                <w:b/>
                <w:bCs/>
                <w:color w:val="FFFFFF"/>
                <w:sz w:val="20"/>
                <w:szCs w:val="20"/>
              </w:rPr>
              <w:t>Description</w:t>
            </w:r>
          </w:p>
        </w:tc>
        <w:tc>
          <w:tcPr>
            <w:tcW w:w="1400" w:type="dxa"/>
            <w:shd w:val="clear" w:color="auto" w:fill="1F3864"/>
            <w:tcMar>
              <w:top w:w="80" w:type="dxa"/>
              <w:left w:w="120" w:type="dxa"/>
              <w:bottom w:w="80" w:type="dxa"/>
              <w:right w:w="120" w:type="dxa"/>
            </w:tcMar>
          </w:tcPr>
          <w:p w14:paraId="6A2FA007" w14:textId="77777777" w:rsidR="00116D99" w:rsidRDefault="003652E5">
            <w:r>
              <w:rPr>
                <w:b/>
                <w:bCs/>
                <w:color w:val="FFFFFF"/>
                <w:sz w:val="20"/>
                <w:szCs w:val="20"/>
              </w:rPr>
              <w:t>Complexité</w:t>
            </w:r>
          </w:p>
        </w:tc>
        <w:tc>
          <w:tcPr>
            <w:tcW w:w="1600" w:type="dxa"/>
            <w:shd w:val="clear" w:color="auto" w:fill="1F3864"/>
            <w:tcMar>
              <w:top w:w="80" w:type="dxa"/>
              <w:left w:w="120" w:type="dxa"/>
              <w:bottom w:w="80" w:type="dxa"/>
              <w:right w:w="120" w:type="dxa"/>
            </w:tcMar>
          </w:tcPr>
          <w:p w14:paraId="401B149E" w14:textId="77777777" w:rsidR="00116D99" w:rsidRDefault="003652E5">
            <w:r>
              <w:rPr>
                <w:b/>
                <w:bCs/>
                <w:color w:val="FFFFFF"/>
                <w:sz w:val="20"/>
                <w:szCs w:val="20"/>
              </w:rPr>
              <w:t>Verdict</w:t>
            </w:r>
          </w:p>
        </w:tc>
      </w:tr>
      <w:tr w:rsidR="00116D99" w14:paraId="25F6F0B4" w14:textId="77777777">
        <w:tblPrEx>
          <w:tblCellMar>
            <w:top w:w="0" w:type="dxa"/>
            <w:bottom w:w="0" w:type="dxa"/>
          </w:tblCellMar>
        </w:tblPrEx>
        <w:tc>
          <w:tcPr>
            <w:tcW w:w="2000" w:type="dxa"/>
            <w:shd w:val="clear" w:color="auto" w:fill="FFFFFF"/>
            <w:tcMar>
              <w:top w:w="70" w:type="dxa"/>
              <w:left w:w="120" w:type="dxa"/>
              <w:bottom w:w="70" w:type="dxa"/>
              <w:right w:w="120" w:type="dxa"/>
            </w:tcMar>
          </w:tcPr>
          <w:p w14:paraId="2423810C" w14:textId="77777777" w:rsidR="00116D99" w:rsidRDefault="003652E5">
            <w:r>
              <w:rPr>
                <w:b/>
                <w:bCs/>
                <w:color w:val="1F3864"/>
                <w:sz w:val="20"/>
                <w:szCs w:val="20"/>
              </w:rPr>
              <w:t>Réconciliation (lecture)</w:t>
            </w:r>
          </w:p>
        </w:tc>
        <w:tc>
          <w:tcPr>
            <w:tcW w:w="4360" w:type="dxa"/>
            <w:shd w:val="clear" w:color="auto" w:fill="FFFFFF"/>
            <w:tcMar>
              <w:top w:w="70" w:type="dxa"/>
              <w:left w:w="120" w:type="dxa"/>
              <w:bottom w:w="70" w:type="dxa"/>
              <w:right w:w="120" w:type="dxa"/>
            </w:tcMar>
          </w:tcPr>
          <w:p w14:paraId="011A720B" w14:textId="77777777" w:rsidR="00116D99" w:rsidRDefault="003652E5">
            <w:r>
              <w:rPr>
                <w:color w:val="222222"/>
                <w:sz w:val="20"/>
                <w:szCs w:val="20"/>
              </w:rPr>
              <w:t>Récupérer l'historique des transactions Mobile Money et rapprocher automatiquement encaissements / décaissements avec la compta SYSCOHADA.</w:t>
            </w:r>
          </w:p>
        </w:tc>
        <w:tc>
          <w:tcPr>
            <w:tcW w:w="1400" w:type="dxa"/>
            <w:shd w:val="clear" w:color="auto" w:fill="FFFFFF"/>
            <w:tcMar>
              <w:top w:w="70" w:type="dxa"/>
              <w:left w:w="120" w:type="dxa"/>
              <w:bottom w:w="70" w:type="dxa"/>
              <w:right w:w="120" w:type="dxa"/>
            </w:tcMar>
          </w:tcPr>
          <w:p w14:paraId="6E95CAD0" w14:textId="77777777" w:rsidR="00116D99" w:rsidRDefault="003652E5">
            <w:r>
              <w:rPr>
                <w:b/>
                <w:bCs/>
                <w:color w:val="2E7D32"/>
                <w:sz w:val="20"/>
                <w:szCs w:val="20"/>
              </w:rPr>
              <w:t>Modérée</w:t>
            </w:r>
          </w:p>
        </w:tc>
        <w:tc>
          <w:tcPr>
            <w:tcW w:w="1600" w:type="dxa"/>
            <w:shd w:val="clear" w:color="auto" w:fill="FFFFFF"/>
            <w:tcMar>
              <w:top w:w="70" w:type="dxa"/>
              <w:left w:w="120" w:type="dxa"/>
              <w:bottom w:w="70" w:type="dxa"/>
              <w:right w:w="120" w:type="dxa"/>
            </w:tcMar>
          </w:tcPr>
          <w:p w14:paraId="03927DF6" w14:textId="77777777" w:rsidR="00116D99" w:rsidRDefault="003652E5">
            <w:r>
              <w:rPr>
                <w:b/>
                <w:bCs/>
                <w:color w:val="2E7D32"/>
                <w:sz w:val="20"/>
                <w:szCs w:val="20"/>
              </w:rPr>
              <w:t>Quasi indispensable</w:t>
            </w:r>
          </w:p>
        </w:tc>
      </w:tr>
      <w:tr w:rsidR="00116D99" w14:paraId="0A8FFF65" w14:textId="77777777">
        <w:tblPrEx>
          <w:tblCellMar>
            <w:top w:w="0" w:type="dxa"/>
            <w:bottom w:w="0" w:type="dxa"/>
          </w:tblCellMar>
        </w:tblPrEx>
        <w:tc>
          <w:tcPr>
            <w:tcW w:w="2000" w:type="dxa"/>
            <w:shd w:val="clear" w:color="auto" w:fill="EAEEF6"/>
            <w:tcMar>
              <w:top w:w="70" w:type="dxa"/>
              <w:left w:w="120" w:type="dxa"/>
              <w:bottom w:w="70" w:type="dxa"/>
              <w:right w:w="120" w:type="dxa"/>
            </w:tcMar>
          </w:tcPr>
          <w:p w14:paraId="0D7CF4EC" w14:textId="77777777" w:rsidR="00116D99" w:rsidRDefault="003652E5">
            <w:r>
              <w:rPr>
                <w:b/>
                <w:bCs/>
                <w:color w:val="1F3864"/>
                <w:sz w:val="20"/>
                <w:szCs w:val="20"/>
              </w:rPr>
              <w:t>Initiation de paiement (écriture)</w:t>
            </w:r>
          </w:p>
        </w:tc>
        <w:tc>
          <w:tcPr>
            <w:tcW w:w="4360" w:type="dxa"/>
            <w:shd w:val="clear" w:color="auto" w:fill="EAEEF6"/>
            <w:tcMar>
              <w:top w:w="70" w:type="dxa"/>
              <w:left w:w="120" w:type="dxa"/>
              <w:bottom w:w="70" w:type="dxa"/>
              <w:right w:w="120" w:type="dxa"/>
            </w:tcMar>
          </w:tcPr>
          <w:p w14:paraId="0DCCB8CF" w14:textId="77777777" w:rsidR="00116D99" w:rsidRDefault="003652E5">
            <w:r>
              <w:rPr>
                <w:color w:val="222222"/>
                <w:sz w:val="20"/>
                <w:szCs w:val="20"/>
              </w:rPr>
              <w:t>Payer un fournisseur ou encaisser un client directement depuis PME360 (mouvement de fonds).</w:t>
            </w:r>
          </w:p>
        </w:tc>
        <w:tc>
          <w:tcPr>
            <w:tcW w:w="1400" w:type="dxa"/>
            <w:shd w:val="clear" w:color="auto" w:fill="EAEEF6"/>
            <w:tcMar>
              <w:top w:w="70" w:type="dxa"/>
              <w:left w:w="120" w:type="dxa"/>
              <w:bottom w:w="70" w:type="dxa"/>
              <w:right w:w="120" w:type="dxa"/>
            </w:tcMar>
          </w:tcPr>
          <w:p w14:paraId="01DAA416" w14:textId="77777777" w:rsidR="00116D99" w:rsidRDefault="003652E5">
            <w:r>
              <w:rPr>
                <w:b/>
                <w:bCs/>
                <w:color w:val="B03A3A"/>
                <w:sz w:val="20"/>
                <w:szCs w:val="20"/>
              </w:rPr>
              <w:t>Élevée</w:t>
            </w:r>
          </w:p>
        </w:tc>
        <w:tc>
          <w:tcPr>
            <w:tcW w:w="1600" w:type="dxa"/>
            <w:shd w:val="clear" w:color="auto" w:fill="EAEEF6"/>
            <w:tcMar>
              <w:top w:w="70" w:type="dxa"/>
              <w:left w:w="120" w:type="dxa"/>
              <w:bottom w:w="70" w:type="dxa"/>
              <w:right w:w="120" w:type="dxa"/>
            </w:tcMar>
          </w:tcPr>
          <w:p w14:paraId="3BD58D06" w14:textId="77777777" w:rsidR="00116D99" w:rsidRDefault="003652E5">
            <w:r>
              <w:rPr>
                <w:b/>
                <w:bCs/>
                <w:color w:val="B8860B"/>
                <w:sz w:val="20"/>
                <w:szCs w:val="20"/>
              </w:rPr>
              <w:t>Phase ultérieure</w:t>
            </w:r>
          </w:p>
        </w:tc>
      </w:tr>
    </w:tbl>
    <w:p w14:paraId="5145727F" w14:textId="77777777" w:rsidR="00116D99" w:rsidRDefault="00116D99">
      <w:pPr>
        <w:spacing w:after="120"/>
      </w:pPr>
    </w:p>
    <w:tbl>
      <w:tblPr>
        <w:tblW w:w="5000" w:type="pct"/>
        <w:tblBorders>
          <w:top w:val="single" w:sz="2" w:space="0" w:color="EAEEF6"/>
          <w:left w:val="single" w:sz="28" w:space="0" w:color="1F3864"/>
          <w:bottom w:val="single" w:sz="2" w:space="0" w:color="EAEEF6"/>
          <w:right w:val="single" w:sz="2" w:space="0" w:color="EAEEF6"/>
        </w:tblBorders>
        <w:tblCellMar>
          <w:left w:w="10" w:type="dxa"/>
          <w:right w:w="10" w:type="dxa"/>
        </w:tblCellMar>
        <w:tblLook w:val="04A0" w:firstRow="1" w:lastRow="0" w:firstColumn="1" w:lastColumn="0" w:noHBand="0" w:noVBand="1"/>
      </w:tblPr>
      <w:tblGrid>
        <w:gridCol w:w="9802"/>
      </w:tblGrid>
      <w:tr w:rsidR="00116D99" w14:paraId="62C1A7F6" w14:textId="77777777">
        <w:tblPrEx>
          <w:tblCellMar>
            <w:top w:w="0" w:type="dxa"/>
            <w:bottom w:w="0" w:type="dxa"/>
          </w:tblCellMar>
        </w:tblPrEx>
        <w:tc>
          <w:tcPr>
            <w:tcW w:w="9360" w:type="dxa"/>
            <w:shd w:val="clear" w:color="auto" w:fill="EAEEF6"/>
            <w:tcMar>
              <w:top w:w="140" w:type="dxa"/>
              <w:left w:w="200" w:type="dxa"/>
              <w:bottom w:w="140" w:type="dxa"/>
              <w:right w:w="200" w:type="dxa"/>
            </w:tcMar>
          </w:tcPr>
          <w:p w14:paraId="704663CD" w14:textId="77777777" w:rsidR="00116D99" w:rsidRDefault="003652E5">
            <w:pPr>
              <w:spacing w:after="60"/>
            </w:pPr>
            <w:r>
              <w:rPr>
                <w:b/>
                <w:bCs/>
                <w:color w:val="1F3864"/>
              </w:rPr>
              <w:t>Pourquoi la réconciliation est prioritaire</w:t>
            </w:r>
          </w:p>
          <w:p w14:paraId="576F9E5E" w14:textId="77777777" w:rsidR="00116D99" w:rsidRDefault="003652E5">
            <w:pPr>
              <w:spacing w:after="60" w:line="268" w:lineRule="auto"/>
            </w:pPr>
            <w:r>
              <w:rPr>
                <w:b/>
                <w:bCs/>
                <w:color w:val="333333"/>
                <w:sz w:val="21"/>
                <w:szCs w:val="21"/>
              </w:rPr>
              <w:lastRenderedPageBreak/>
              <w:t>Sans elle, la trésorerie de PME360 reste théorique : l'entrepreneur doit ressaisir manuellement ce qui se passe sur son téléphone. C'est précisément le différenciateur déjà identifié pour PME360.</w:t>
            </w:r>
          </w:p>
          <w:p w14:paraId="701B4F64" w14:textId="77777777" w:rsidR="00116D99" w:rsidRDefault="003652E5">
            <w:pPr>
              <w:spacing w:after="60" w:line="268" w:lineRule="auto"/>
            </w:pPr>
            <w:r>
              <w:rPr>
                <w:color w:val="333333"/>
                <w:sz w:val="21"/>
                <w:szCs w:val="21"/>
              </w:rPr>
              <w:t>L'initiation de paiement, elle, implique agrément, gestion de fonds, conformité KYC/AML et responsabilité en cas de litige — à réserver à une phase ultérieure, sauf ambition explicite de statut d'agrégateur de paiement.</w:t>
            </w:r>
          </w:p>
        </w:tc>
      </w:tr>
    </w:tbl>
    <w:p w14:paraId="3A557324" w14:textId="77777777" w:rsidR="00116D99" w:rsidRDefault="003652E5">
      <w:pPr>
        <w:pStyle w:val="Titre1"/>
        <w:pBdr>
          <w:bottom w:val="single" w:sz="12" w:space="4" w:color="B8860B"/>
        </w:pBdr>
        <w:spacing w:before="320" w:after="140"/>
      </w:pPr>
      <w:r>
        <w:rPr>
          <w:b/>
          <w:bCs/>
          <w:color w:val="1F3864"/>
          <w:sz w:val="30"/>
          <w:szCs w:val="30"/>
        </w:rPr>
        <w:lastRenderedPageBreak/>
        <w:t>3. Facturation et gestion de stock</w:t>
      </w:r>
    </w:p>
    <w:p w14:paraId="7B2EFFB2" w14:textId="77777777" w:rsidR="00116D99" w:rsidRDefault="003652E5">
      <w:pPr>
        <w:pStyle w:val="Titre2"/>
        <w:spacing w:before="220" w:after="100"/>
      </w:pPr>
      <w:r>
        <w:rPr>
          <w:b/>
          <w:bCs/>
          <w:color w:val="2E4A7D"/>
          <w:sz w:val="25"/>
          <w:szCs w:val="25"/>
        </w:rPr>
        <w:t>3.1 Module Facturation</w:t>
      </w:r>
    </w:p>
    <w:p w14:paraId="551444C7" w14:textId="77777777" w:rsidR="00116D99" w:rsidRDefault="003652E5">
      <w:pPr>
        <w:spacing w:after="120" w:line="276" w:lineRule="auto"/>
      </w:pPr>
      <w:r>
        <w:rPr>
          <w:color w:val="222222"/>
        </w:rPr>
        <w:t xml:space="preserve">C'est le complément le plus naturel de la trésorerie : une facture émise devient une </w:t>
      </w:r>
      <w:r>
        <w:rPr>
          <w:b/>
          <w:bCs/>
          <w:color w:val="222222"/>
        </w:rPr>
        <w:t>créance à encaisser</w:t>
      </w:r>
      <w:r>
        <w:rPr>
          <w:color w:val="222222"/>
        </w:rPr>
        <w:t xml:space="preserve">, et le lien facture → paiement Mobile Money → écriture comptable </w:t>
      </w:r>
      <w:r>
        <w:rPr>
          <w:b/>
          <w:bCs/>
          <w:color w:val="222222"/>
        </w:rPr>
        <w:t>ferme la boucle</w:t>
      </w:r>
      <w:r>
        <w:rPr>
          <w:color w:val="222222"/>
        </w:rPr>
        <w:t>.</w:t>
      </w:r>
    </w:p>
    <w:p w14:paraId="059F5C8A" w14:textId="77777777" w:rsidR="00116D99" w:rsidRDefault="003652E5">
      <w:pPr>
        <w:pStyle w:val="Paragraphedeliste"/>
        <w:numPr>
          <w:ilvl w:val="0"/>
          <w:numId w:val="2"/>
        </w:numPr>
        <w:spacing w:after="80" w:line="272" w:lineRule="auto"/>
      </w:pPr>
      <w:r>
        <w:rPr>
          <w:b/>
          <w:bCs/>
          <w:color w:val="222222"/>
        </w:rPr>
        <w:t xml:space="preserve">Crochet d'adoption fort : </w:t>
      </w:r>
      <w:r>
        <w:rPr>
          <w:color w:val="222222"/>
        </w:rPr>
        <w:t>une PME facture tous les jours, alors qu'elle consulte sa trésorerie une fois par semaine.</w:t>
      </w:r>
    </w:p>
    <w:p w14:paraId="4DADD03B" w14:textId="77777777" w:rsidR="00116D99" w:rsidRDefault="003652E5">
      <w:pPr>
        <w:pStyle w:val="Paragraphedeliste"/>
        <w:numPr>
          <w:ilvl w:val="0"/>
          <w:numId w:val="2"/>
        </w:numPr>
        <w:spacing w:after="80" w:line="272" w:lineRule="auto"/>
      </w:pPr>
      <w:r>
        <w:rPr>
          <w:b/>
          <w:bCs/>
          <w:color w:val="222222"/>
        </w:rPr>
        <w:t xml:space="preserve">Enjeu réglementaire : </w:t>
      </w:r>
      <w:r>
        <w:rPr>
          <w:color w:val="222222"/>
        </w:rPr>
        <w:t>la facture normalisée / e-</w:t>
      </w:r>
      <w:proofErr w:type="spellStart"/>
      <w:r>
        <w:rPr>
          <w:color w:val="222222"/>
        </w:rPr>
        <w:t>invoicing</w:t>
      </w:r>
      <w:proofErr w:type="spellEnd"/>
      <w:r>
        <w:rPr>
          <w:color w:val="222222"/>
        </w:rPr>
        <w:t xml:space="preserve"> devient un sujet de conformité en zone UEMOA.</w:t>
      </w:r>
    </w:p>
    <w:p w14:paraId="201A46D2" w14:textId="77777777" w:rsidR="00116D99" w:rsidRDefault="003652E5">
      <w:pPr>
        <w:pStyle w:val="Titre2"/>
        <w:spacing w:before="220" w:after="100"/>
      </w:pPr>
      <w:r>
        <w:rPr>
          <w:b/>
          <w:bCs/>
          <w:color w:val="2E4A7D"/>
          <w:sz w:val="25"/>
          <w:szCs w:val="25"/>
        </w:rPr>
        <w:t>3.2 Module Gestion de stock</w:t>
      </w:r>
    </w:p>
    <w:p w14:paraId="2B1BA288" w14:textId="77777777" w:rsidR="00116D99" w:rsidRDefault="003652E5">
      <w:pPr>
        <w:spacing w:after="120" w:line="276" w:lineRule="auto"/>
      </w:pPr>
      <w:r>
        <w:rPr>
          <w:color w:val="222222"/>
        </w:rPr>
        <w:t xml:space="preserve">Module plus lourd et plus </w:t>
      </w:r>
      <w:r>
        <w:rPr>
          <w:b/>
          <w:bCs/>
          <w:color w:val="222222"/>
        </w:rPr>
        <w:t>sectoriel</w:t>
      </w:r>
      <w:r>
        <w:rPr>
          <w:color w:val="222222"/>
        </w:rPr>
        <w:t xml:space="preserve"> : utile pour le négoce et la distribution, peu pertinent pour les services. Il élargit le marché adressable mais </w:t>
      </w:r>
      <w:r>
        <w:rPr>
          <w:b/>
          <w:bCs/>
          <w:color w:val="222222"/>
        </w:rPr>
        <w:t>dilue le focus</w:t>
      </w:r>
      <w:r>
        <w:rPr>
          <w:color w:val="222222"/>
        </w:rPr>
        <w:t>. À positionner en option, pas dans le cœur.</w:t>
      </w:r>
    </w:p>
    <w:p w14:paraId="5E3716BE" w14:textId="77777777" w:rsidR="00116D99" w:rsidRDefault="003652E5">
      <w:pPr>
        <w:pStyle w:val="Titre1"/>
        <w:pBdr>
          <w:bottom w:val="single" w:sz="12" w:space="4" w:color="B8860B"/>
        </w:pBdr>
        <w:spacing w:before="320" w:after="140"/>
      </w:pPr>
      <w:r>
        <w:rPr>
          <w:b/>
          <w:bCs/>
          <w:color w:val="1F3864"/>
          <w:sz w:val="30"/>
          <w:szCs w:val="30"/>
        </w:rPr>
        <w:t>4. Priorisation (</w:t>
      </w:r>
      <w:proofErr w:type="spellStart"/>
      <w:r>
        <w:rPr>
          <w:b/>
          <w:bCs/>
          <w:color w:val="1F3864"/>
          <w:sz w:val="30"/>
          <w:szCs w:val="30"/>
        </w:rPr>
        <w:t>MoSCoW</w:t>
      </w:r>
      <w:proofErr w:type="spellEnd"/>
      <w:r>
        <w:rPr>
          <w:b/>
          <w:bCs/>
          <w:color w:val="1F3864"/>
          <w:sz w:val="30"/>
          <w:szCs w:val="30"/>
        </w:rPr>
        <w:t>)</w:t>
      </w:r>
    </w:p>
    <w:tbl>
      <w:tblPr>
        <w:tblW w:w="9360" w:type="dxa"/>
        <w:tblBorders>
          <w:top w:val="single" w:sz="4" w:space="0" w:color="1F3864"/>
          <w:left w:val="single" w:sz="2" w:space="0" w:color="BBBBBB"/>
          <w:bottom w:val="single" w:sz="4" w:space="0" w:color="1F3864"/>
          <w:right w:val="single" w:sz="2" w:space="0" w:color="BBBBBB"/>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1900"/>
        <w:gridCol w:w="3400"/>
        <w:gridCol w:w="4060"/>
      </w:tblGrid>
      <w:tr w:rsidR="00116D99" w14:paraId="68C9EA83" w14:textId="77777777">
        <w:tblPrEx>
          <w:tblCellMar>
            <w:top w:w="0" w:type="dxa"/>
            <w:bottom w:w="0" w:type="dxa"/>
          </w:tblCellMar>
        </w:tblPrEx>
        <w:trPr>
          <w:tblHeader/>
        </w:trPr>
        <w:tc>
          <w:tcPr>
            <w:tcW w:w="1900" w:type="dxa"/>
            <w:shd w:val="clear" w:color="auto" w:fill="1F3864"/>
            <w:tcMar>
              <w:top w:w="80" w:type="dxa"/>
              <w:left w:w="120" w:type="dxa"/>
              <w:bottom w:w="80" w:type="dxa"/>
              <w:right w:w="120" w:type="dxa"/>
            </w:tcMar>
          </w:tcPr>
          <w:p w14:paraId="027060FA" w14:textId="77777777" w:rsidR="00116D99" w:rsidRDefault="003652E5">
            <w:r>
              <w:rPr>
                <w:b/>
                <w:bCs/>
                <w:color w:val="FFFFFF"/>
                <w:sz w:val="20"/>
                <w:szCs w:val="20"/>
              </w:rPr>
              <w:t>Priorité</w:t>
            </w:r>
          </w:p>
        </w:tc>
        <w:tc>
          <w:tcPr>
            <w:tcW w:w="3400" w:type="dxa"/>
            <w:shd w:val="clear" w:color="auto" w:fill="1F3864"/>
            <w:tcMar>
              <w:top w:w="80" w:type="dxa"/>
              <w:left w:w="120" w:type="dxa"/>
              <w:bottom w:w="80" w:type="dxa"/>
              <w:right w:w="120" w:type="dxa"/>
            </w:tcMar>
          </w:tcPr>
          <w:p w14:paraId="2C450427" w14:textId="77777777" w:rsidR="00116D99" w:rsidRDefault="003652E5">
            <w:r>
              <w:rPr>
                <w:b/>
                <w:bCs/>
                <w:color w:val="FFFFFF"/>
                <w:sz w:val="20"/>
                <w:szCs w:val="20"/>
              </w:rPr>
              <w:t>Élément</w:t>
            </w:r>
          </w:p>
        </w:tc>
        <w:tc>
          <w:tcPr>
            <w:tcW w:w="4060" w:type="dxa"/>
            <w:shd w:val="clear" w:color="auto" w:fill="1F3864"/>
            <w:tcMar>
              <w:top w:w="80" w:type="dxa"/>
              <w:left w:w="120" w:type="dxa"/>
              <w:bottom w:w="80" w:type="dxa"/>
              <w:right w:w="120" w:type="dxa"/>
            </w:tcMar>
          </w:tcPr>
          <w:p w14:paraId="6EBD21E3" w14:textId="77777777" w:rsidR="00116D99" w:rsidRDefault="003652E5">
            <w:r>
              <w:rPr>
                <w:b/>
                <w:bCs/>
                <w:color w:val="FFFFFF"/>
                <w:sz w:val="20"/>
                <w:szCs w:val="20"/>
              </w:rPr>
              <w:t>Justification</w:t>
            </w:r>
          </w:p>
        </w:tc>
      </w:tr>
      <w:tr w:rsidR="00116D99" w14:paraId="06A7834A" w14:textId="77777777">
        <w:tblPrEx>
          <w:tblCellMar>
            <w:top w:w="0" w:type="dxa"/>
            <w:bottom w:w="0" w:type="dxa"/>
          </w:tblCellMar>
        </w:tblPrEx>
        <w:tc>
          <w:tcPr>
            <w:tcW w:w="1900" w:type="dxa"/>
            <w:shd w:val="clear" w:color="auto" w:fill="FFFFFF"/>
            <w:tcMar>
              <w:top w:w="70" w:type="dxa"/>
              <w:left w:w="120" w:type="dxa"/>
              <w:bottom w:w="70" w:type="dxa"/>
              <w:right w:w="120" w:type="dxa"/>
            </w:tcMar>
          </w:tcPr>
          <w:p w14:paraId="253696C2" w14:textId="77777777" w:rsidR="00116D99" w:rsidRDefault="003652E5">
            <w:r>
              <w:rPr>
                <w:b/>
                <w:bCs/>
                <w:color w:val="2E7D32"/>
                <w:sz w:val="20"/>
                <w:szCs w:val="20"/>
              </w:rPr>
              <w:t>MUST</w:t>
            </w:r>
          </w:p>
        </w:tc>
        <w:tc>
          <w:tcPr>
            <w:tcW w:w="3400" w:type="dxa"/>
            <w:shd w:val="clear" w:color="auto" w:fill="FFFFFF"/>
            <w:tcMar>
              <w:top w:w="70" w:type="dxa"/>
              <w:left w:w="120" w:type="dxa"/>
              <w:bottom w:w="70" w:type="dxa"/>
              <w:right w:w="120" w:type="dxa"/>
            </w:tcMar>
          </w:tcPr>
          <w:p w14:paraId="3A424AEC" w14:textId="77777777" w:rsidR="00116D99" w:rsidRDefault="003652E5">
            <w:r>
              <w:rPr>
                <w:color w:val="222222"/>
                <w:sz w:val="20"/>
                <w:szCs w:val="20"/>
              </w:rPr>
              <w:t>Trésorerie + réconciliation Mobile Money (lecture)</w:t>
            </w:r>
          </w:p>
        </w:tc>
        <w:tc>
          <w:tcPr>
            <w:tcW w:w="4060" w:type="dxa"/>
            <w:shd w:val="clear" w:color="auto" w:fill="FFFFFF"/>
            <w:tcMar>
              <w:top w:w="70" w:type="dxa"/>
              <w:left w:w="120" w:type="dxa"/>
              <w:bottom w:w="70" w:type="dxa"/>
              <w:right w:w="120" w:type="dxa"/>
            </w:tcMar>
          </w:tcPr>
          <w:p w14:paraId="1C410D4A" w14:textId="77777777" w:rsidR="00116D99" w:rsidRDefault="003652E5">
            <w:r>
              <w:rPr>
                <w:color w:val="222222"/>
                <w:sz w:val="20"/>
                <w:szCs w:val="20"/>
              </w:rPr>
              <w:t>Cœur du produit et vrai différenciateur marché.</w:t>
            </w:r>
          </w:p>
        </w:tc>
      </w:tr>
      <w:tr w:rsidR="00116D99" w14:paraId="27CFB971" w14:textId="77777777">
        <w:tblPrEx>
          <w:tblCellMar>
            <w:top w:w="0" w:type="dxa"/>
            <w:bottom w:w="0" w:type="dxa"/>
          </w:tblCellMar>
        </w:tblPrEx>
        <w:tc>
          <w:tcPr>
            <w:tcW w:w="1900" w:type="dxa"/>
            <w:shd w:val="clear" w:color="auto" w:fill="EAEEF6"/>
            <w:tcMar>
              <w:top w:w="70" w:type="dxa"/>
              <w:left w:w="120" w:type="dxa"/>
              <w:bottom w:w="70" w:type="dxa"/>
              <w:right w:w="120" w:type="dxa"/>
            </w:tcMar>
          </w:tcPr>
          <w:p w14:paraId="63645239" w14:textId="77777777" w:rsidR="00116D99" w:rsidRDefault="003652E5">
            <w:r>
              <w:rPr>
                <w:b/>
                <w:bCs/>
                <w:color w:val="1F3864"/>
                <w:sz w:val="20"/>
                <w:szCs w:val="20"/>
              </w:rPr>
              <w:t>SHOULD</w:t>
            </w:r>
          </w:p>
        </w:tc>
        <w:tc>
          <w:tcPr>
            <w:tcW w:w="3400" w:type="dxa"/>
            <w:shd w:val="clear" w:color="auto" w:fill="EAEEF6"/>
            <w:tcMar>
              <w:top w:w="70" w:type="dxa"/>
              <w:left w:w="120" w:type="dxa"/>
              <w:bottom w:w="70" w:type="dxa"/>
              <w:right w:w="120" w:type="dxa"/>
            </w:tcMar>
          </w:tcPr>
          <w:p w14:paraId="1AB33238" w14:textId="77777777" w:rsidR="00116D99" w:rsidRDefault="003652E5">
            <w:r>
              <w:rPr>
                <w:color w:val="222222"/>
                <w:sz w:val="20"/>
                <w:szCs w:val="20"/>
              </w:rPr>
              <w:t>Module Facturation</w:t>
            </w:r>
          </w:p>
        </w:tc>
        <w:tc>
          <w:tcPr>
            <w:tcW w:w="4060" w:type="dxa"/>
            <w:shd w:val="clear" w:color="auto" w:fill="EAEEF6"/>
            <w:tcMar>
              <w:top w:w="70" w:type="dxa"/>
              <w:left w:w="120" w:type="dxa"/>
              <w:bottom w:w="70" w:type="dxa"/>
              <w:right w:w="120" w:type="dxa"/>
            </w:tcMar>
          </w:tcPr>
          <w:p w14:paraId="679A5C31" w14:textId="77777777" w:rsidR="00116D99" w:rsidRDefault="003652E5">
            <w:r>
              <w:rPr>
                <w:color w:val="222222"/>
                <w:sz w:val="20"/>
                <w:szCs w:val="20"/>
              </w:rPr>
              <w:t>Ferme la boucle encaissement ; fort levier d'adoption ; conformité e-</w:t>
            </w:r>
            <w:proofErr w:type="spellStart"/>
            <w:r>
              <w:rPr>
                <w:color w:val="222222"/>
                <w:sz w:val="20"/>
                <w:szCs w:val="20"/>
              </w:rPr>
              <w:t>invoicing</w:t>
            </w:r>
            <w:proofErr w:type="spellEnd"/>
            <w:r>
              <w:rPr>
                <w:color w:val="222222"/>
                <w:sz w:val="20"/>
                <w:szCs w:val="20"/>
              </w:rPr>
              <w:t>.</w:t>
            </w:r>
          </w:p>
        </w:tc>
      </w:tr>
      <w:tr w:rsidR="00116D99" w14:paraId="2AD91B7D" w14:textId="77777777">
        <w:tblPrEx>
          <w:tblCellMar>
            <w:top w:w="0" w:type="dxa"/>
            <w:bottom w:w="0" w:type="dxa"/>
          </w:tblCellMar>
        </w:tblPrEx>
        <w:tc>
          <w:tcPr>
            <w:tcW w:w="1900" w:type="dxa"/>
            <w:shd w:val="clear" w:color="auto" w:fill="FFFFFF"/>
            <w:tcMar>
              <w:top w:w="70" w:type="dxa"/>
              <w:left w:w="120" w:type="dxa"/>
              <w:bottom w:w="70" w:type="dxa"/>
              <w:right w:w="120" w:type="dxa"/>
            </w:tcMar>
          </w:tcPr>
          <w:p w14:paraId="6709DE45" w14:textId="77777777" w:rsidR="00116D99" w:rsidRDefault="003652E5">
            <w:r>
              <w:rPr>
                <w:b/>
                <w:bCs/>
                <w:color w:val="B8860B"/>
                <w:sz w:val="20"/>
                <w:szCs w:val="20"/>
              </w:rPr>
              <w:t>COULD</w:t>
            </w:r>
          </w:p>
        </w:tc>
        <w:tc>
          <w:tcPr>
            <w:tcW w:w="3400" w:type="dxa"/>
            <w:shd w:val="clear" w:color="auto" w:fill="FFFFFF"/>
            <w:tcMar>
              <w:top w:w="70" w:type="dxa"/>
              <w:left w:w="120" w:type="dxa"/>
              <w:bottom w:w="70" w:type="dxa"/>
              <w:right w:w="120" w:type="dxa"/>
            </w:tcMar>
          </w:tcPr>
          <w:p w14:paraId="00A0DC14" w14:textId="77777777" w:rsidR="00116D99" w:rsidRDefault="003652E5">
            <w:r>
              <w:rPr>
                <w:color w:val="222222"/>
                <w:sz w:val="20"/>
                <w:szCs w:val="20"/>
              </w:rPr>
              <w:t>Gestion de stock (négoce)</w:t>
            </w:r>
          </w:p>
        </w:tc>
        <w:tc>
          <w:tcPr>
            <w:tcW w:w="4060" w:type="dxa"/>
            <w:shd w:val="clear" w:color="auto" w:fill="FFFFFF"/>
            <w:tcMar>
              <w:top w:w="70" w:type="dxa"/>
              <w:left w:w="120" w:type="dxa"/>
              <w:bottom w:w="70" w:type="dxa"/>
              <w:right w:w="120" w:type="dxa"/>
            </w:tcMar>
          </w:tcPr>
          <w:p w14:paraId="3627AB08" w14:textId="77777777" w:rsidR="00116D99" w:rsidRDefault="003652E5">
            <w:r>
              <w:rPr>
                <w:color w:val="222222"/>
                <w:sz w:val="20"/>
                <w:szCs w:val="20"/>
              </w:rPr>
              <w:t>Extension optionnelle pour le segment distribution ; à activer selon la demande.</w:t>
            </w:r>
          </w:p>
        </w:tc>
      </w:tr>
      <w:tr w:rsidR="00116D99" w14:paraId="15E03E96" w14:textId="77777777">
        <w:tblPrEx>
          <w:tblCellMar>
            <w:top w:w="0" w:type="dxa"/>
            <w:bottom w:w="0" w:type="dxa"/>
          </w:tblCellMar>
        </w:tblPrEx>
        <w:tc>
          <w:tcPr>
            <w:tcW w:w="1900" w:type="dxa"/>
            <w:shd w:val="clear" w:color="auto" w:fill="EAEEF6"/>
            <w:tcMar>
              <w:top w:w="70" w:type="dxa"/>
              <w:left w:w="120" w:type="dxa"/>
              <w:bottom w:w="70" w:type="dxa"/>
              <w:right w:w="120" w:type="dxa"/>
            </w:tcMar>
          </w:tcPr>
          <w:p w14:paraId="66005796" w14:textId="77777777" w:rsidR="00116D99" w:rsidRDefault="003652E5">
            <w:r>
              <w:rPr>
                <w:b/>
                <w:bCs/>
                <w:color w:val="B03A3A"/>
                <w:sz w:val="20"/>
                <w:szCs w:val="20"/>
              </w:rPr>
              <w:t>WON'T (pour l'instant)</w:t>
            </w:r>
          </w:p>
        </w:tc>
        <w:tc>
          <w:tcPr>
            <w:tcW w:w="3400" w:type="dxa"/>
            <w:shd w:val="clear" w:color="auto" w:fill="EAEEF6"/>
            <w:tcMar>
              <w:top w:w="70" w:type="dxa"/>
              <w:left w:w="120" w:type="dxa"/>
              <w:bottom w:w="70" w:type="dxa"/>
              <w:right w:w="120" w:type="dxa"/>
            </w:tcMar>
          </w:tcPr>
          <w:p w14:paraId="362CF2C7" w14:textId="77777777" w:rsidR="00116D99" w:rsidRDefault="003652E5">
            <w:r>
              <w:rPr>
                <w:color w:val="222222"/>
                <w:sz w:val="20"/>
                <w:szCs w:val="20"/>
              </w:rPr>
              <w:t>Initiation de paiement Mobile Money</w:t>
            </w:r>
          </w:p>
        </w:tc>
        <w:tc>
          <w:tcPr>
            <w:tcW w:w="4060" w:type="dxa"/>
            <w:shd w:val="clear" w:color="auto" w:fill="EAEEF6"/>
            <w:tcMar>
              <w:top w:w="70" w:type="dxa"/>
              <w:left w:w="120" w:type="dxa"/>
              <w:bottom w:w="70" w:type="dxa"/>
              <w:right w:w="120" w:type="dxa"/>
            </w:tcMar>
          </w:tcPr>
          <w:p w14:paraId="756A9B99" w14:textId="77777777" w:rsidR="00116D99" w:rsidRDefault="003652E5">
            <w:r>
              <w:rPr>
                <w:color w:val="222222"/>
                <w:sz w:val="20"/>
                <w:szCs w:val="20"/>
              </w:rPr>
              <w:t>Exige agrément et gestion de fonds ; à réévaluer en phase d'agrégateur.</w:t>
            </w:r>
          </w:p>
        </w:tc>
      </w:tr>
    </w:tbl>
    <w:p w14:paraId="56CDB9A9" w14:textId="77777777" w:rsidR="00116D99" w:rsidRDefault="003652E5">
      <w:pPr>
        <w:pStyle w:val="Titre1"/>
        <w:pBdr>
          <w:bottom w:val="single" w:sz="12" w:space="4" w:color="B8860B"/>
        </w:pBdr>
        <w:spacing w:before="320" w:after="140"/>
      </w:pPr>
      <w:r>
        <w:rPr>
          <w:b/>
          <w:bCs/>
          <w:color w:val="1F3864"/>
          <w:sz w:val="30"/>
          <w:szCs w:val="30"/>
        </w:rPr>
        <w:t>5. Impacts réglementaires</w:t>
      </w:r>
    </w:p>
    <w:p w14:paraId="2D5878F0" w14:textId="77777777" w:rsidR="00116D99" w:rsidRDefault="003652E5">
      <w:pPr>
        <w:pStyle w:val="Paragraphedeliste"/>
        <w:numPr>
          <w:ilvl w:val="0"/>
          <w:numId w:val="2"/>
        </w:numPr>
        <w:spacing w:after="80" w:line="272" w:lineRule="auto"/>
      </w:pPr>
      <w:r>
        <w:rPr>
          <w:b/>
          <w:bCs/>
          <w:color w:val="222222"/>
        </w:rPr>
        <w:t xml:space="preserve">SYSCOHADA révisé : </w:t>
      </w:r>
      <w:r>
        <w:rPr>
          <w:color w:val="222222"/>
        </w:rPr>
        <w:t>la réconciliation Mobile Money doit alimenter des écritures conformes au plan de comptes OHADA (comptes de trésorerie, journaux). La traçabilité pièce-à-écriture est essentielle.</w:t>
      </w:r>
    </w:p>
    <w:p w14:paraId="36246249" w14:textId="77777777" w:rsidR="00116D99" w:rsidRDefault="003652E5">
      <w:pPr>
        <w:pStyle w:val="Paragraphedeliste"/>
        <w:numPr>
          <w:ilvl w:val="0"/>
          <w:numId w:val="2"/>
        </w:numPr>
        <w:spacing w:after="80" w:line="272" w:lineRule="auto"/>
      </w:pPr>
      <w:r>
        <w:rPr>
          <w:b/>
          <w:bCs/>
          <w:color w:val="222222"/>
        </w:rPr>
        <w:t xml:space="preserve">Facture normalisée UEMOA : </w:t>
      </w:r>
      <w:r>
        <w:rPr>
          <w:color w:val="222222"/>
        </w:rPr>
        <w:t>anticiper les exigences de facturation électronique et de numérotation séquentielle propres aux administrations fiscales de la zone.</w:t>
      </w:r>
    </w:p>
    <w:p w14:paraId="2CDB4EDB" w14:textId="77777777" w:rsidR="00116D99" w:rsidRDefault="003652E5">
      <w:pPr>
        <w:pStyle w:val="Paragraphedeliste"/>
        <w:numPr>
          <w:ilvl w:val="0"/>
          <w:numId w:val="2"/>
        </w:numPr>
        <w:spacing w:after="80" w:line="272" w:lineRule="auto"/>
      </w:pPr>
      <w:r>
        <w:rPr>
          <w:b/>
          <w:bCs/>
          <w:color w:val="222222"/>
        </w:rPr>
        <w:t xml:space="preserve">Protection des données : </w:t>
      </w:r>
      <w:r>
        <w:rPr>
          <w:color w:val="222222"/>
        </w:rPr>
        <w:t>l'accès aux historiques Mobile Money implique le consentement de l'utilisateur et une conformité aux règles de protection des données personnelles applicables.</w:t>
      </w:r>
    </w:p>
    <w:p w14:paraId="746CF435" w14:textId="77777777" w:rsidR="00116D99" w:rsidRDefault="003652E5">
      <w:pPr>
        <w:pStyle w:val="Paragraphedeliste"/>
        <w:numPr>
          <w:ilvl w:val="0"/>
          <w:numId w:val="2"/>
        </w:numPr>
        <w:spacing w:after="80" w:line="272" w:lineRule="auto"/>
      </w:pPr>
      <w:r>
        <w:rPr>
          <w:b/>
          <w:bCs/>
          <w:color w:val="222222"/>
        </w:rPr>
        <w:lastRenderedPageBreak/>
        <w:t xml:space="preserve">Statut de paiement : </w:t>
      </w:r>
      <w:r>
        <w:rPr>
          <w:color w:val="222222"/>
        </w:rPr>
        <w:t>tant que PME360 reste en lecture seule, il n'est pas un établissement de paiement ; franchir le pas de l'initiation changerait ce statut réglementaire.</w:t>
      </w:r>
    </w:p>
    <w:tbl>
      <w:tblPr>
        <w:tblW w:w="5000" w:type="pct"/>
        <w:tblBorders>
          <w:top w:val="single" w:sz="2" w:space="0" w:color="FBEAEA"/>
          <w:left w:val="single" w:sz="28" w:space="0" w:color="B03A3A"/>
          <w:bottom w:val="single" w:sz="2" w:space="0" w:color="FBEAEA"/>
          <w:right w:val="single" w:sz="2" w:space="0" w:color="FBEAEA"/>
        </w:tblBorders>
        <w:tblCellMar>
          <w:left w:w="10" w:type="dxa"/>
          <w:right w:w="10" w:type="dxa"/>
        </w:tblCellMar>
        <w:tblLook w:val="04A0" w:firstRow="1" w:lastRow="0" w:firstColumn="1" w:lastColumn="0" w:noHBand="0" w:noVBand="1"/>
      </w:tblPr>
      <w:tblGrid>
        <w:gridCol w:w="9802"/>
      </w:tblGrid>
      <w:tr w:rsidR="00116D99" w14:paraId="7000CEE7" w14:textId="77777777">
        <w:tblPrEx>
          <w:tblCellMar>
            <w:top w:w="0" w:type="dxa"/>
            <w:bottom w:w="0" w:type="dxa"/>
          </w:tblCellMar>
        </w:tblPrEx>
        <w:tc>
          <w:tcPr>
            <w:tcW w:w="9360" w:type="dxa"/>
            <w:shd w:val="clear" w:color="auto" w:fill="FBEAEA"/>
            <w:tcMar>
              <w:top w:w="140" w:type="dxa"/>
              <w:left w:w="200" w:type="dxa"/>
              <w:bottom w:w="140" w:type="dxa"/>
              <w:right w:w="200" w:type="dxa"/>
            </w:tcMar>
          </w:tcPr>
          <w:p w14:paraId="12E18E7E" w14:textId="77777777" w:rsidR="00116D99" w:rsidRDefault="003652E5">
            <w:pPr>
              <w:spacing w:after="60"/>
            </w:pPr>
            <w:r>
              <w:rPr>
                <w:b/>
                <w:bCs/>
                <w:color w:val="B03A3A"/>
              </w:rPr>
              <w:t>Point de vigilance</w:t>
            </w:r>
          </w:p>
          <w:p w14:paraId="72242733" w14:textId="77777777" w:rsidR="00116D99" w:rsidRDefault="003652E5">
            <w:pPr>
              <w:spacing w:after="60" w:line="268" w:lineRule="auto"/>
            </w:pPr>
            <w:r>
              <w:rPr>
                <w:b/>
                <w:bCs/>
                <w:color w:val="333333"/>
                <w:sz w:val="21"/>
                <w:szCs w:val="21"/>
              </w:rPr>
              <w:t>La frontière lecture / écriture n'est pas qu'un choix technique : elle détermine si PME360 est un logiciel de gestion ou un acteur régulé du paiement. Rester en lecture seule maximise la vitesse de mise sur le marché.</w:t>
            </w:r>
          </w:p>
        </w:tc>
      </w:tr>
    </w:tbl>
    <w:p w14:paraId="6A0E6C07" w14:textId="77777777" w:rsidR="00116D99" w:rsidRDefault="003652E5">
      <w:pPr>
        <w:pStyle w:val="Titre1"/>
        <w:pBdr>
          <w:bottom w:val="single" w:sz="12" w:space="4" w:color="B8860B"/>
        </w:pBdr>
        <w:spacing w:before="320" w:after="140"/>
      </w:pPr>
      <w:r>
        <w:rPr>
          <w:b/>
          <w:bCs/>
          <w:color w:val="1F3864"/>
          <w:sz w:val="30"/>
          <w:szCs w:val="30"/>
        </w:rPr>
        <w:t>6. Architecture modulaire cible</w:t>
      </w:r>
    </w:p>
    <w:p w14:paraId="465328FA" w14:textId="77777777" w:rsidR="00116D99" w:rsidRDefault="003652E5">
      <w:pPr>
        <w:spacing w:after="120" w:line="276" w:lineRule="auto"/>
      </w:pPr>
      <w:r>
        <w:rPr>
          <w:color w:val="222222"/>
        </w:rPr>
        <w:t>Une architecture en cercles concentriques limite la dispersion et préserve la cohérence du produit.</w:t>
      </w:r>
    </w:p>
    <w:tbl>
      <w:tblPr>
        <w:tblW w:w="9360" w:type="dxa"/>
        <w:tblBorders>
          <w:top w:val="single" w:sz="4" w:space="0" w:color="1F3864"/>
          <w:left w:val="single" w:sz="2" w:space="0" w:color="BBBBBB"/>
          <w:bottom w:val="single" w:sz="4" w:space="0" w:color="1F3864"/>
          <w:right w:val="single" w:sz="2" w:space="0" w:color="BBBBBB"/>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1900"/>
        <w:gridCol w:w="4260"/>
        <w:gridCol w:w="3200"/>
      </w:tblGrid>
      <w:tr w:rsidR="00116D99" w14:paraId="7195B70C" w14:textId="77777777">
        <w:tblPrEx>
          <w:tblCellMar>
            <w:top w:w="0" w:type="dxa"/>
            <w:bottom w:w="0" w:type="dxa"/>
          </w:tblCellMar>
        </w:tblPrEx>
        <w:trPr>
          <w:tblHeader/>
        </w:trPr>
        <w:tc>
          <w:tcPr>
            <w:tcW w:w="1900" w:type="dxa"/>
            <w:shd w:val="clear" w:color="auto" w:fill="1F3864"/>
            <w:tcMar>
              <w:top w:w="80" w:type="dxa"/>
              <w:left w:w="120" w:type="dxa"/>
              <w:bottom w:w="80" w:type="dxa"/>
              <w:right w:w="120" w:type="dxa"/>
            </w:tcMar>
          </w:tcPr>
          <w:p w14:paraId="7F57CFE4" w14:textId="77777777" w:rsidR="00116D99" w:rsidRDefault="003652E5">
            <w:r>
              <w:rPr>
                <w:b/>
                <w:bCs/>
                <w:color w:val="FFFFFF"/>
                <w:sz w:val="20"/>
                <w:szCs w:val="20"/>
              </w:rPr>
              <w:t>Couche</w:t>
            </w:r>
          </w:p>
        </w:tc>
        <w:tc>
          <w:tcPr>
            <w:tcW w:w="4260" w:type="dxa"/>
            <w:shd w:val="clear" w:color="auto" w:fill="1F3864"/>
            <w:tcMar>
              <w:top w:w="80" w:type="dxa"/>
              <w:left w:w="120" w:type="dxa"/>
              <w:bottom w:w="80" w:type="dxa"/>
              <w:right w:w="120" w:type="dxa"/>
            </w:tcMar>
          </w:tcPr>
          <w:p w14:paraId="66CF4C32" w14:textId="77777777" w:rsidR="00116D99" w:rsidRDefault="003652E5">
            <w:r>
              <w:rPr>
                <w:b/>
                <w:bCs/>
                <w:color w:val="FFFFFF"/>
                <w:sz w:val="20"/>
                <w:szCs w:val="20"/>
              </w:rPr>
              <w:t>Modules</w:t>
            </w:r>
          </w:p>
        </w:tc>
        <w:tc>
          <w:tcPr>
            <w:tcW w:w="3200" w:type="dxa"/>
            <w:shd w:val="clear" w:color="auto" w:fill="1F3864"/>
            <w:tcMar>
              <w:top w:w="80" w:type="dxa"/>
              <w:left w:w="120" w:type="dxa"/>
              <w:bottom w:w="80" w:type="dxa"/>
              <w:right w:w="120" w:type="dxa"/>
            </w:tcMar>
          </w:tcPr>
          <w:p w14:paraId="39AB096F" w14:textId="77777777" w:rsidR="00116D99" w:rsidRDefault="003652E5">
            <w:r>
              <w:rPr>
                <w:b/>
                <w:bCs/>
                <w:color w:val="FFFFFF"/>
                <w:sz w:val="20"/>
                <w:szCs w:val="20"/>
              </w:rPr>
              <w:t>Rôle</w:t>
            </w:r>
          </w:p>
        </w:tc>
      </w:tr>
      <w:tr w:rsidR="00116D99" w14:paraId="3603BF10" w14:textId="77777777">
        <w:tblPrEx>
          <w:tblCellMar>
            <w:top w:w="0" w:type="dxa"/>
            <w:bottom w:w="0" w:type="dxa"/>
          </w:tblCellMar>
        </w:tblPrEx>
        <w:tc>
          <w:tcPr>
            <w:tcW w:w="1900" w:type="dxa"/>
            <w:shd w:val="clear" w:color="auto" w:fill="FFFFFF"/>
            <w:tcMar>
              <w:top w:w="70" w:type="dxa"/>
              <w:left w:w="120" w:type="dxa"/>
              <w:bottom w:w="70" w:type="dxa"/>
              <w:right w:w="120" w:type="dxa"/>
            </w:tcMar>
          </w:tcPr>
          <w:p w14:paraId="179C2B64" w14:textId="77777777" w:rsidR="00116D99" w:rsidRDefault="003652E5">
            <w:r>
              <w:rPr>
                <w:b/>
                <w:bCs/>
                <w:color w:val="1F3864"/>
                <w:sz w:val="20"/>
                <w:szCs w:val="20"/>
              </w:rPr>
              <w:t>Cœur</w:t>
            </w:r>
          </w:p>
        </w:tc>
        <w:tc>
          <w:tcPr>
            <w:tcW w:w="4260" w:type="dxa"/>
            <w:shd w:val="clear" w:color="auto" w:fill="FFFFFF"/>
            <w:tcMar>
              <w:top w:w="70" w:type="dxa"/>
              <w:left w:w="120" w:type="dxa"/>
              <w:bottom w:w="70" w:type="dxa"/>
              <w:right w:w="120" w:type="dxa"/>
            </w:tcMar>
          </w:tcPr>
          <w:p w14:paraId="5D3961AF" w14:textId="77777777" w:rsidR="00116D99" w:rsidRDefault="003652E5">
            <w:r>
              <w:rPr>
                <w:color w:val="222222"/>
                <w:sz w:val="20"/>
                <w:szCs w:val="20"/>
              </w:rPr>
              <w:t>Trésorerie + Réconciliation Mobile Money + Compta SYSCOHADA</w:t>
            </w:r>
          </w:p>
        </w:tc>
        <w:tc>
          <w:tcPr>
            <w:tcW w:w="3200" w:type="dxa"/>
            <w:shd w:val="clear" w:color="auto" w:fill="FFFFFF"/>
            <w:tcMar>
              <w:top w:w="70" w:type="dxa"/>
              <w:left w:w="120" w:type="dxa"/>
              <w:bottom w:w="70" w:type="dxa"/>
              <w:right w:w="120" w:type="dxa"/>
            </w:tcMar>
          </w:tcPr>
          <w:p w14:paraId="7D6565EA" w14:textId="77777777" w:rsidR="00116D99" w:rsidRDefault="003652E5">
            <w:r>
              <w:rPr>
                <w:color w:val="222222"/>
                <w:sz w:val="20"/>
                <w:szCs w:val="20"/>
              </w:rPr>
              <w:t>Socle non négociable ; différenciateur.</w:t>
            </w:r>
          </w:p>
        </w:tc>
      </w:tr>
      <w:tr w:rsidR="00116D99" w14:paraId="1B32917E" w14:textId="77777777">
        <w:tblPrEx>
          <w:tblCellMar>
            <w:top w:w="0" w:type="dxa"/>
            <w:bottom w:w="0" w:type="dxa"/>
          </w:tblCellMar>
        </w:tblPrEx>
        <w:tc>
          <w:tcPr>
            <w:tcW w:w="1900" w:type="dxa"/>
            <w:shd w:val="clear" w:color="auto" w:fill="EAEEF6"/>
            <w:tcMar>
              <w:top w:w="70" w:type="dxa"/>
              <w:left w:w="120" w:type="dxa"/>
              <w:bottom w:w="70" w:type="dxa"/>
              <w:right w:w="120" w:type="dxa"/>
            </w:tcMar>
          </w:tcPr>
          <w:p w14:paraId="48C5A8CC" w14:textId="77777777" w:rsidR="00116D99" w:rsidRDefault="003652E5">
            <w:r>
              <w:rPr>
                <w:b/>
                <w:bCs/>
                <w:color w:val="2E4A7D"/>
                <w:sz w:val="20"/>
                <w:szCs w:val="20"/>
              </w:rPr>
              <w:t>Boucle d'encaissement</w:t>
            </w:r>
          </w:p>
        </w:tc>
        <w:tc>
          <w:tcPr>
            <w:tcW w:w="4260" w:type="dxa"/>
            <w:shd w:val="clear" w:color="auto" w:fill="EAEEF6"/>
            <w:tcMar>
              <w:top w:w="70" w:type="dxa"/>
              <w:left w:w="120" w:type="dxa"/>
              <w:bottom w:w="70" w:type="dxa"/>
              <w:right w:w="120" w:type="dxa"/>
            </w:tcMar>
          </w:tcPr>
          <w:p w14:paraId="61E967BC" w14:textId="77777777" w:rsidR="00116D99" w:rsidRDefault="003652E5">
            <w:r>
              <w:rPr>
                <w:color w:val="222222"/>
                <w:sz w:val="20"/>
                <w:szCs w:val="20"/>
              </w:rPr>
              <w:t>Facturation → Créances → Rapprochement paiement</w:t>
            </w:r>
          </w:p>
        </w:tc>
        <w:tc>
          <w:tcPr>
            <w:tcW w:w="3200" w:type="dxa"/>
            <w:shd w:val="clear" w:color="auto" w:fill="EAEEF6"/>
            <w:tcMar>
              <w:top w:w="70" w:type="dxa"/>
              <w:left w:w="120" w:type="dxa"/>
              <w:bottom w:w="70" w:type="dxa"/>
              <w:right w:w="120" w:type="dxa"/>
            </w:tcMar>
          </w:tcPr>
          <w:p w14:paraId="523D7807" w14:textId="77777777" w:rsidR="00116D99" w:rsidRDefault="003652E5">
            <w:r>
              <w:rPr>
                <w:color w:val="222222"/>
                <w:sz w:val="20"/>
                <w:szCs w:val="20"/>
              </w:rPr>
              <w:t>Ferme le cycle client et nourrit la trésorerie.</w:t>
            </w:r>
          </w:p>
        </w:tc>
      </w:tr>
      <w:tr w:rsidR="00116D99" w14:paraId="6CDD71CC" w14:textId="77777777">
        <w:tblPrEx>
          <w:tblCellMar>
            <w:top w:w="0" w:type="dxa"/>
            <w:bottom w:w="0" w:type="dxa"/>
          </w:tblCellMar>
        </w:tblPrEx>
        <w:tc>
          <w:tcPr>
            <w:tcW w:w="1900" w:type="dxa"/>
            <w:shd w:val="clear" w:color="auto" w:fill="FFFFFF"/>
            <w:tcMar>
              <w:top w:w="70" w:type="dxa"/>
              <w:left w:w="120" w:type="dxa"/>
              <w:bottom w:w="70" w:type="dxa"/>
              <w:right w:w="120" w:type="dxa"/>
            </w:tcMar>
          </w:tcPr>
          <w:p w14:paraId="7E04464B" w14:textId="77777777" w:rsidR="00116D99" w:rsidRDefault="003652E5">
            <w:r>
              <w:rPr>
                <w:b/>
                <w:bCs/>
                <w:color w:val="B8860B"/>
                <w:sz w:val="20"/>
                <w:szCs w:val="20"/>
              </w:rPr>
              <w:t>Extensions</w:t>
            </w:r>
          </w:p>
        </w:tc>
        <w:tc>
          <w:tcPr>
            <w:tcW w:w="4260" w:type="dxa"/>
            <w:shd w:val="clear" w:color="auto" w:fill="FFFFFF"/>
            <w:tcMar>
              <w:top w:w="70" w:type="dxa"/>
              <w:left w:w="120" w:type="dxa"/>
              <w:bottom w:w="70" w:type="dxa"/>
              <w:right w:w="120" w:type="dxa"/>
            </w:tcMar>
          </w:tcPr>
          <w:p w14:paraId="05099BF1" w14:textId="77777777" w:rsidR="00116D99" w:rsidRDefault="003652E5">
            <w:r>
              <w:rPr>
                <w:color w:val="222222"/>
                <w:sz w:val="20"/>
                <w:szCs w:val="20"/>
              </w:rPr>
              <w:t>Gestion de stock, autres modules sectoriels</w:t>
            </w:r>
          </w:p>
        </w:tc>
        <w:tc>
          <w:tcPr>
            <w:tcW w:w="3200" w:type="dxa"/>
            <w:shd w:val="clear" w:color="auto" w:fill="FFFFFF"/>
            <w:tcMar>
              <w:top w:w="70" w:type="dxa"/>
              <w:left w:w="120" w:type="dxa"/>
              <w:bottom w:w="70" w:type="dxa"/>
              <w:right w:w="120" w:type="dxa"/>
            </w:tcMar>
          </w:tcPr>
          <w:p w14:paraId="5CB02738" w14:textId="77777777" w:rsidR="00116D99" w:rsidRDefault="003652E5">
            <w:r>
              <w:rPr>
                <w:color w:val="222222"/>
                <w:sz w:val="20"/>
                <w:szCs w:val="20"/>
              </w:rPr>
              <w:t>Optionnelles, activables par segment.</w:t>
            </w:r>
          </w:p>
        </w:tc>
      </w:tr>
      <w:tr w:rsidR="00116D99" w14:paraId="24504065" w14:textId="77777777">
        <w:tblPrEx>
          <w:tblCellMar>
            <w:top w:w="0" w:type="dxa"/>
            <w:bottom w:w="0" w:type="dxa"/>
          </w:tblCellMar>
        </w:tblPrEx>
        <w:tc>
          <w:tcPr>
            <w:tcW w:w="1900" w:type="dxa"/>
            <w:shd w:val="clear" w:color="auto" w:fill="EAEEF6"/>
            <w:tcMar>
              <w:top w:w="70" w:type="dxa"/>
              <w:left w:w="120" w:type="dxa"/>
              <w:bottom w:w="70" w:type="dxa"/>
              <w:right w:w="120" w:type="dxa"/>
            </w:tcMar>
          </w:tcPr>
          <w:p w14:paraId="066392E1" w14:textId="77777777" w:rsidR="00116D99" w:rsidRDefault="003652E5">
            <w:r>
              <w:rPr>
                <w:b/>
                <w:bCs/>
                <w:color w:val="595959"/>
                <w:sz w:val="20"/>
                <w:szCs w:val="20"/>
              </w:rPr>
              <w:t>Connecteurs</w:t>
            </w:r>
          </w:p>
        </w:tc>
        <w:tc>
          <w:tcPr>
            <w:tcW w:w="4260" w:type="dxa"/>
            <w:shd w:val="clear" w:color="auto" w:fill="EAEEF6"/>
            <w:tcMar>
              <w:top w:w="70" w:type="dxa"/>
              <w:left w:w="120" w:type="dxa"/>
              <w:bottom w:w="70" w:type="dxa"/>
              <w:right w:w="120" w:type="dxa"/>
            </w:tcMar>
          </w:tcPr>
          <w:p w14:paraId="35066747" w14:textId="77777777" w:rsidR="00116D99" w:rsidRDefault="003652E5">
            <w:r>
              <w:rPr>
                <w:color w:val="222222"/>
                <w:sz w:val="20"/>
                <w:szCs w:val="20"/>
              </w:rPr>
              <w:t xml:space="preserve">API </w:t>
            </w:r>
            <w:proofErr w:type="spellStart"/>
            <w:r>
              <w:rPr>
                <w:color w:val="222222"/>
                <w:sz w:val="20"/>
                <w:szCs w:val="20"/>
              </w:rPr>
              <w:t>Wave</w:t>
            </w:r>
            <w:proofErr w:type="spellEnd"/>
            <w:r>
              <w:rPr>
                <w:color w:val="222222"/>
                <w:sz w:val="20"/>
                <w:szCs w:val="20"/>
              </w:rPr>
              <w:t xml:space="preserve"> / Orange Money / MTN </w:t>
            </w:r>
            <w:proofErr w:type="spellStart"/>
            <w:r>
              <w:rPr>
                <w:color w:val="222222"/>
                <w:sz w:val="20"/>
                <w:szCs w:val="20"/>
              </w:rPr>
              <w:t>MoMo</w:t>
            </w:r>
            <w:proofErr w:type="spellEnd"/>
            <w:r>
              <w:rPr>
                <w:color w:val="222222"/>
                <w:sz w:val="20"/>
                <w:szCs w:val="20"/>
              </w:rPr>
              <w:t xml:space="preserve"> (lecture)</w:t>
            </w:r>
          </w:p>
        </w:tc>
        <w:tc>
          <w:tcPr>
            <w:tcW w:w="3200" w:type="dxa"/>
            <w:shd w:val="clear" w:color="auto" w:fill="EAEEF6"/>
            <w:tcMar>
              <w:top w:w="70" w:type="dxa"/>
              <w:left w:w="120" w:type="dxa"/>
              <w:bottom w:w="70" w:type="dxa"/>
              <w:right w:w="120" w:type="dxa"/>
            </w:tcMar>
          </w:tcPr>
          <w:p w14:paraId="51B4E8B5" w14:textId="77777777" w:rsidR="00116D99" w:rsidRDefault="003652E5">
            <w:r>
              <w:rPr>
                <w:color w:val="222222"/>
                <w:sz w:val="20"/>
                <w:szCs w:val="20"/>
              </w:rPr>
              <w:t>Couche d'intégration isolée et mutualisée.</w:t>
            </w:r>
          </w:p>
        </w:tc>
      </w:tr>
    </w:tbl>
    <w:p w14:paraId="35C337F6" w14:textId="77777777" w:rsidR="00116D99" w:rsidRDefault="00116D99">
      <w:pPr>
        <w:spacing w:after="120"/>
      </w:pPr>
    </w:p>
    <w:tbl>
      <w:tblPr>
        <w:tblW w:w="5000" w:type="pct"/>
        <w:tblBorders>
          <w:top w:val="single" w:sz="2" w:space="0" w:color="E9F3EA"/>
          <w:left w:val="single" w:sz="28" w:space="0" w:color="2E7D32"/>
          <w:bottom w:val="single" w:sz="2" w:space="0" w:color="E9F3EA"/>
          <w:right w:val="single" w:sz="2" w:space="0" w:color="E9F3EA"/>
        </w:tblBorders>
        <w:tblCellMar>
          <w:left w:w="10" w:type="dxa"/>
          <w:right w:w="10" w:type="dxa"/>
        </w:tblCellMar>
        <w:tblLook w:val="04A0" w:firstRow="1" w:lastRow="0" w:firstColumn="1" w:lastColumn="0" w:noHBand="0" w:noVBand="1"/>
      </w:tblPr>
      <w:tblGrid>
        <w:gridCol w:w="9802"/>
      </w:tblGrid>
      <w:tr w:rsidR="00116D99" w14:paraId="65308DE3" w14:textId="77777777">
        <w:tblPrEx>
          <w:tblCellMar>
            <w:top w:w="0" w:type="dxa"/>
            <w:bottom w:w="0" w:type="dxa"/>
          </w:tblCellMar>
        </w:tblPrEx>
        <w:tc>
          <w:tcPr>
            <w:tcW w:w="9360" w:type="dxa"/>
            <w:shd w:val="clear" w:color="auto" w:fill="E9F3EA"/>
            <w:tcMar>
              <w:top w:w="140" w:type="dxa"/>
              <w:left w:w="200" w:type="dxa"/>
              <w:bottom w:w="140" w:type="dxa"/>
              <w:right w:w="200" w:type="dxa"/>
            </w:tcMar>
          </w:tcPr>
          <w:p w14:paraId="1D46A6F8" w14:textId="77777777" w:rsidR="00116D99" w:rsidRDefault="003652E5">
            <w:pPr>
              <w:spacing w:after="60"/>
            </w:pPr>
            <w:r>
              <w:rPr>
                <w:b/>
                <w:bCs/>
                <w:color w:val="2E7D32"/>
              </w:rPr>
              <w:t>Principe directeur</w:t>
            </w:r>
          </w:p>
          <w:p w14:paraId="3A804053" w14:textId="77777777" w:rsidR="00116D99" w:rsidRDefault="003652E5">
            <w:pPr>
              <w:spacing w:after="60" w:line="268" w:lineRule="auto"/>
            </w:pPr>
            <w:r>
              <w:rPr>
                <w:b/>
                <w:bCs/>
                <w:color w:val="333333"/>
                <w:sz w:val="21"/>
                <w:szCs w:val="21"/>
              </w:rPr>
              <w:t>Un connecteur Mobile Money unifié et isolé (une seule couche d'abstraction pour les trois opérateurs) évite de dupliquer la logique d'intégration et facilite l'ajout futur d'autres opérateurs ou de l'initiation de paiement.</w:t>
            </w:r>
          </w:p>
        </w:tc>
      </w:tr>
    </w:tbl>
    <w:p w14:paraId="12C02039" w14:textId="77777777" w:rsidR="00116D99" w:rsidRDefault="003652E5">
      <w:pPr>
        <w:pStyle w:val="Titre1"/>
        <w:pBdr>
          <w:bottom w:val="single" w:sz="12" w:space="4" w:color="B8860B"/>
        </w:pBdr>
        <w:spacing w:before="320" w:after="140"/>
      </w:pPr>
      <w:r>
        <w:rPr>
          <w:b/>
          <w:bCs/>
          <w:color w:val="1F3864"/>
          <w:sz w:val="30"/>
          <w:szCs w:val="30"/>
        </w:rPr>
        <w:t>7. Séquençage recommandé</w:t>
      </w:r>
    </w:p>
    <w:tbl>
      <w:tblPr>
        <w:tblW w:w="9360" w:type="dxa"/>
        <w:tblBorders>
          <w:top w:val="single" w:sz="4" w:space="0" w:color="1F3864"/>
          <w:left w:val="single" w:sz="2" w:space="0" w:color="BBBBBB"/>
          <w:bottom w:val="single" w:sz="4" w:space="0" w:color="1F3864"/>
          <w:right w:val="single" w:sz="2" w:space="0" w:color="BBBBBB"/>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1000"/>
        <w:gridCol w:w="6360"/>
        <w:gridCol w:w="2000"/>
      </w:tblGrid>
      <w:tr w:rsidR="00116D99" w14:paraId="2E0BD44A" w14:textId="77777777">
        <w:tblPrEx>
          <w:tblCellMar>
            <w:top w:w="0" w:type="dxa"/>
            <w:bottom w:w="0" w:type="dxa"/>
          </w:tblCellMar>
        </w:tblPrEx>
        <w:trPr>
          <w:tblHeader/>
        </w:trPr>
        <w:tc>
          <w:tcPr>
            <w:tcW w:w="1000" w:type="dxa"/>
            <w:shd w:val="clear" w:color="auto" w:fill="1F3864"/>
            <w:tcMar>
              <w:top w:w="80" w:type="dxa"/>
              <w:left w:w="120" w:type="dxa"/>
              <w:bottom w:w="80" w:type="dxa"/>
              <w:right w:w="120" w:type="dxa"/>
            </w:tcMar>
          </w:tcPr>
          <w:p w14:paraId="6FA0ED9E" w14:textId="77777777" w:rsidR="00116D99" w:rsidRDefault="003652E5">
            <w:r>
              <w:rPr>
                <w:b/>
                <w:bCs/>
                <w:color w:val="FFFFFF"/>
                <w:sz w:val="20"/>
                <w:szCs w:val="20"/>
              </w:rPr>
              <w:t>Étape</w:t>
            </w:r>
          </w:p>
        </w:tc>
        <w:tc>
          <w:tcPr>
            <w:tcW w:w="6360" w:type="dxa"/>
            <w:shd w:val="clear" w:color="auto" w:fill="1F3864"/>
            <w:tcMar>
              <w:top w:w="80" w:type="dxa"/>
              <w:left w:w="120" w:type="dxa"/>
              <w:bottom w:w="80" w:type="dxa"/>
              <w:right w:w="120" w:type="dxa"/>
            </w:tcMar>
          </w:tcPr>
          <w:p w14:paraId="0BC8A81C" w14:textId="77777777" w:rsidR="00116D99" w:rsidRDefault="003652E5">
            <w:r>
              <w:rPr>
                <w:b/>
                <w:bCs/>
                <w:color w:val="FFFFFF"/>
                <w:sz w:val="20"/>
                <w:szCs w:val="20"/>
              </w:rPr>
              <w:t>Livrable</w:t>
            </w:r>
          </w:p>
        </w:tc>
        <w:tc>
          <w:tcPr>
            <w:tcW w:w="2000" w:type="dxa"/>
            <w:shd w:val="clear" w:color="auto" w:fill="1F3864"/>
            <w:tcMar>
              <w:top w:w="80" w:type="dxa"/>
              <w:left w:w="120" w:type="dxa"/>
              <w:bottom w:w="80" w:type="dxa"/>
              <w:right w:w="120" w:type="dxa"/>
            </w:tcMar>
          </w:tcPr>
          <w:p w14:paraId="2BE5E841" w14:textId="77777777" w:rsidR="00116D99" w:rsidRDefault="003652E5">
            <w:r>
              <w:rPr>
                <w:b/>
                <w:bCs/>
                <w:color w:val="FFFFFF"/>
                <w:sz w:val="20"/>
                <w:szCs w:val="20"/>
              </w:rPr>
              <w:t>Priorité</w:t>
            </w:r>
          </w:p>
        </w:tc>
      </w:tr>
      <w:tr w:rsidR="00116D99" w14:paraId="2BD00E6C" w14:textId="77777777">
        <w:tblPrEx>
          <w:tblCellMar>
            <w:top w:w="0" w:type="dxa"/>
            <w:bottom w:w="0" w:type="dxa"/>
          </w:tblCellMar>
        </w:tblPrEx>
        <w:tc>
          <w:tcPr>
            <w:tcW w:w="1000" w:type="dxa"/>
            <w:shd w:val="clear" w:color="auto" w:fill="FFFFFF"/>
            <w:tcMar>
              <w:top w:w="70" w:type="dxa"/>
              <w:left w:w="120" w:type="dxa"/>
              <w:bottom w:w="70" w:type="dxa"/>
              <w:right w:w="120" w:type="dxa"/>
            </w:tcMar>
          </w:tcPr>
          <w:p w14:paraId="16DBEA16" w14:textId="77777777" w:rsidR="00116D99" w:rsidRDefault="003652E5">
            <w:r>
              <w:rPr>
                <w:color w:val="222222"/>
                <w:sz w:val="20"/>
                <w:szCs w:val="20"/>
              </w:rPr>
              <w:t>1</w:t>
            </w:r>
          </w:p>
        </w:tc>
        <w:tc>
          <w:tcPr>
            <w:tcW w:w="6360" w:type="dxa"/>
            <w:shd w:val="clear" w:color="auto" w:fill="FFFFFF"/>
            <w:tcMar>
              <w:top w:w="70" w:type="dxa"/>
              <w:left w:w="120" w:type="dxa"/>
              <w:bottom w:w="70" w:type="dxa"/>
              <w:right w:w="120" w:type="dxa"/>
            </w:tcMar>
          </w:tcPr>
          <w:p w14:paraId="0DB0013F" w14:textId="77777777" w:rsidR="00116D99" w:rsidRDefault="003652E5">
            <w:r>
              <w:rPr>
                <w:color w:val="222222"/>
                <w:sz w:val="20"/>
                <w:szCs w:val="20"/>
              </w:rPr>
              <w:t>Connecteur Mobile Money (lecture) + réconciliation automatique</w:t>
            </w:r>
          </w:p>
        </w:tc>
        <w:tc>
          <w:tcPr>
            <w:tcW w:w="2000" w:type="dxa"/>
            <w:shd w:val="clear" w:color="auto" w:fill="FFFFFF"/>
            <w:tcMar>
              <w:top w:w="70" w:type="dxa"/>
              <w:left w:w="120" w:type="dxa"/>
              <w:bottom w:w="70" w:type="dxa"/>
              <w:right w:w="120" w:type="dxa"/>
            </w:tcMar>
          </w:tcPr>
          <w:p w14:paraId="342C8AA8" w14:textId="77777777" w:rsidR="00116D99" w:rsidRDefault="003652E5">
            <w:r>
              <w:rPr>
                <w:b/>
                <w:bCs/>
                <w:color w:val="2E7D32"/>
                <w:sz w:val="20"/>
                <w:szCs w:val="20"/>
              </w:rPr>
              <w:t>MUST</w:t>
            </w:r>
          </w:p>
        </w:tc>
      </w:tr>
      <w:tr w:rsidR="00116D99" w14:paraId="754E6C7F" w14:textId="77777777">
        <w:tblPrEx>
          <w:tblCellMar>
            <w:top w:w="0" w:type="dxa"/>
            <w:bottom w:w="0" w:type="dxa"/>
          </w:tblCellMar>
        </w:tblPrEx>
        <w:tc>
          <w:tcPr>
            <w:tcW w:w="1000" w:type="dxa"/>
            <w:shd w:val="clear" w:color="auto" w:fill="EAEEF6"/>
            <w:tcMar>
              <w:top w:w="70" w:type="dxa"/>
              <w:left w:w="120" w:type="dxa"/>
              <w:bottom w:w="70" w:type="dxa"/>
              <w:right w:w="120" w:type="dxa"/>
            </w:tcMar>
          </w:tcPr>
          <w:p w14:paraId="67C61255" w14:textId="77777777" w:rsidR="00116D99" w:rsidRDefault="003652E5">
            <w:r>
              <w:rPr>
                <w:color w:val="222222"/>
                <w:sz w:val="20"/>
                <w:szCs w:val="20"/>
              </w:rPr>
              <w:t>2</w:t>
            </w:r>
          </w:p>
        </w:tc>
        <w:tc>
          <w:tcPr>
            <w:tcW w:w="6360" w:type="dxa"/>
            <w:shd w:val="clear" w:color="auto" w:fill="EAEEF6"/>
            <w:tcMar>
              <w:top w:w="70" w:type="dxa"/>
              <w:left w:w="120" w:type="dxa"/>
              <w:bottom w:w="70" w:type="dxa"/>
              <w:right w:w="120" w:type="dxa"/>
            </w:tcMar>
          </w:tcPr>
          <w:p w14:paraId="34BA4390" w14:textId="77777777" w:rsidR="00116D99" w:rsidRDefault="003652E5">
            <w:r>
              <w:rPr>
                <w:color w:val="222222"/>
                <w:sz w:val="20"/>
                <w:szCs w:val="20"/>
              </w:rPr>
              <w:t>Module Facturation relié à la trésorerie</w:t>
            </w:r>
          </w:p>
        </w:tc>
        <w:tc>
          <w:tcPr>
            <w:tcW w:w="2000" w:type="dxa"/>
            <w:shd w:val="clear" w:color="auto" w:fill="EAEEF6"/>
            <w:tcMar>
              <w:top w:w="70" w:type="dxa"/>
              <w:left w:w="120" w:type="dxa"/>
              <w:bottom w:w="70" w:type="dxa"/>
              <w:right w:w="120" w:type="dxa"/>
            </w:tcMar>
          </w:tcPr>
          <w:p w14:paraId="68BEA860" w14:textId="77777777" w:rsidR="00116D99" w:rsidRDefault="003652E5">
            <w:r>
              <w:rPr>
                <w:b/>
                <w:bCs/>
                <w:color w:val="1F3864"/>
                <w:sz w:val="20"/>
                <w:szCs w:val="20"/>
              </w:rPr>
              <w:t>SHOULD</w:t>
            </w:r>
          </w:p>
        </w:tc>
      </w:tr>
      <w:tr w:rsidR="00116D99" w14:paraId="2B252BEE" w14:textId="77777777">
        <w:tblPrEx>
          <w:tblCellMar>
            <w:top w:w="0" w:type="dxa"/>
            <w:bottom w:w="0" w:type="dxa"/>
          </w:tblCellMar>
        </w:tblPrEx>
        <w:tc>
          <w:tcPr>
            <w:tcW w:w="1000" w:type="dxa"/>
            <w:shd w:val="clear" w:color="auto" w:fill="FFFFFF"/>
            <w:tcMar>
              <w:top w:w="70" w:type="dxa"/>
              <w:left w:w="120" w:type="dxa"/>
              <w:bottom w:w="70" w:type="dxa"/>
              <w:right w:w="120" w:type="dxa"/>
            </w:tcMar>
          </w:tcPr>
          <w:p w14:paraId="5CA54D7B" w14:textId="77777777" w:rsidR="00116D99" w:rsidRDefault="003652E5">
            <w:r>
              <w:rPr>
                <w:color w:val="222222"/>
                <w:sz w:val="20"/>
                <w:szCs w:val="20"/>
              </w:rPr>
              <w:t>3</w:t>
            </w:r>
          </w:p>
        </w:tc>
        <w:tc>
          <w:tcPr>
            <w:tcW w:w="6360" w:type="dxa"/>
            <w:shd w:val="clear" w:color="auto" w:fill="FFFFFF"/>
            <w:tcMar>
              <w:top w:w="70" w:type="dxa"/>
              <w:left w:w="120" w:type="dxa"/>
              <w:bottom w:w="70" w:type="dxa"/>
              <w:right w:w="120" w:type="dxa"/>
            </w:tcMar>
          </w:tcPr>
          <w:p w14:paraId="4C9A3F93" w14:textId="77777777" w:rsidR="00116D99" w:rsidRDefault="003652E5">
            <w:r>
              <w:rPr>
                <w:color w:val="222222"/>
                <w:sz w:val="20"/>
                <w:szCs w:val="20"/>
              </w:rPr>
              <w:t>Gestion de stock pour le segment négoce</w:t>
            </w:r>
          </w:p>
        </w:tc>
        <w:tc>
          <w:tcPr>
            <w:tcW w:w="2000" w:type="dxa"/>
            <w:shd w:val="clear" w:color="auto" w:fill="FFFFFF"/>
            <w:tcMar>
              <w:top w:w="70" w:type="dxa"/>
              <w:left w:w="120" w:type="dxa"/>
              <w:bottom w:w="70" w:type="dxa"/>
              <w:right w:w="120" w:type="dxa"/>
            </w:tcMar>
          </w:tcPr>
          <w:p w14:paraId="5485C6B7" w14:textId="77777777" w:rsidR="00116D99" w:rsidRDefault="003652E5">
            <w:r>
              <w:rPr>
                <w:b/>
                <w:bCs/>
                <w:color w:val="B8860B"/>
                <w:sz w:val="20"/>
                <w:szCs w:val="20"/>
              </w:rPr>
              <w:t>COULD</w:t>
            </w:r>
          </w:p>
        </w:tc>
      </w:tr>
      <w:tr w:rsidR="00116D99" w14:paraId="4EA2CA51" w14:textId="77777777">
        <w:tblPrEx>
          <w:tblCellMar>
            <w:top w:w="0" w:type="dxa"/>
            <w:bottom w:w="0" w:type="dxa"/>
          </w:tblCellMar>
        </w:tblPrEx>
        <w:tc>
          <w:tcPr>
            <w:tcW w:w="1000" w:type="dxa"/>
            <w:shd w:val="clear" w:color="auto" w:fill="EAEEF6"/>
            <w:tcMar>
              <w:top w:w="70" w:type="dxa"/>
              <w:left w:w="120" w:type="dxa"/>
              <w:bottom w:w="70" w:type="dxa"/>
              <w:right w:w="120" w:type="dxa"/>
            </w:tcMar>
          </w:tcPr>
          <w:p w14:paraId="4C130DF2" w14:textId="77777777" w:rsidR="00116D99" w:rsidRDefault="003652E5">
            <w:r>
              <w:rPr>
                <w:color w:val="222222"/>
                <w:sz w:val="20"/>
                <w:szCs w:val="20"/>
              </w:rPr>
              <w:t>4</w:t>
            </w:r>
          </w:p>
        </w:tc>
        <w:tc>
          <w:tcPr>
            <w:tcW w:w="6360" w:type="dxa"/>
            <w:shd w:val="clear" w:color="auto" w:fill="EAEEF6"/>
            <w:tcMar>
              <w:top w:w="70" w:type="dxa"/>
              <w:left w:w="120" w:type="dxa"/>
              <w:bottom w:w="70" w:type="dxa"/>
              <w:right w:w="120" w:type="dxa"/>
            </w:tcMar>
          </w:tcPr>
          <w:p w14:paraId="120AD781" w14:textId="77777777" w:rsidR="00116D99" w:rsidRDefault="003652E5">
            <w:r>
              <w:rPr>
                <w:color w:val="222222"/>
                <w:sz w:val="20"/>
                <w:szCs w:val="20"/>
              </w:rPr>
              <w:t>Étude de faisabilité initiation de paiement / statut agrégateur</w:t>
            </w:r>
          </w:p>
        </w:tc>
        <w:tc>
          <w:tcPr>
            <w:tcW w:w="2000" w:type="dxa"/>
            <w:shd w:val="clear" w:color="auto" w:fill="EAEEF6"/>
            <w:tcMar>
              <w:top w:w="70" w:type="dxa"/>
              <w:left w:w="120" w:type="dxa"/>
              <w:bottom w:w="70" w:type="dxa"/>
              <w:right w:w="120" w:type="dxa"/>
            </w:tcMar>
          </w:tcPr>
          <w:p w14:paraId="44FA3A7E" w14:textId="77777777" w:rsidR="00116D99" w:rsidRDefault="003652E5">
            <w:r>
              <w:rPr>
                <w:b/>
                <w:bCs/>
                <w:color w:val="B03A3A"/>
                <w:sz w:val="20"/>
                <w:szCs w:val="20"/>
              </w:rPr>
              <w:t>À évaluer</w:t>
            </w:r>
          </w:p>
        </w:tc>
      </w:tr>
    </w:tbl>
    <w:p w14:paraId="56385765" w14:textId="77777777" w:rsidR="00116D99" w:rsidRDefault="00116D99">
      <w:pPr>
        <w:spacing w:after="160"/>
      </w:pPr>
    </w:p>
    <w:p w14:paraId="4A7DB2F4" w14:textId="77777777" w:rsidR="00116D99" w:rsidRDefault="003652E5">
      <w:pPr>
        <w:pBdr>
          <w:top w:val="single" w:sz="12" w:space="6" w:color="B8860B"/>
        </w:pBdr>
        <w:spacing w:before="120" w:after="40"/>
      </w:pPr>
      <w:r>
        <w:rPr>
          <w:i/>
          <w:iCs/>
          <w:color w:val="595959"/>
          <w:sz w:val="18"/>
          <w:szCs w:val="18"/>
        </w:rPr>
        <w:t>Note préparée pour SITIAME Capital — usage interne. Les exigences réglementaires (facture normalisée, statut de paiement) doivent être confirmées auprès des autorités compétentes avant arbitrage définitif.</w:t>
      </w:r>
    </w:p>
    <w:sectPr w:rsidR="00116D99">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80D10" w14:textId="77777777" w:rsidR="003652E5" w:rsidRDefault="003652E5">
      <w:r>
        <w:separator/>
      </w:r>
    </w:p>
  </w:endnote>
  <w:endnote w:type="continuationSeparator" w:id="0">
    <w:p w14:paraId="39FA5AF6" w14:textId="77777777" w:rsidR="003652E5" w:rsidRDefault="00365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FE98" w14:textId="77777777" w:rsidR="00116D99" w:rsidRDefault="003652E5">
    <w:pPr>
      <w:pBdr>
        <w:top w:val="single" w:sz="6" w:space="4" w:color="1F3864"/>
      </w:pBdr>
      <w:spacing w:before="20"/>
    </w:pPr>
    <w:r>
      <w:rPr>
        <w:color w:val="595959"/>
        <w:sz w:val="15"/>
        <w:szCs w:val="15"/>
      </w:rPr>
      <w:t>Confidentiel — usage interne</w:t>
    </w:r>
    <w:r>
      <w:ptab w:relativeTo="margin" w:alignment="right" w:leader="dot"/>
    </w: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Pr>
        <w:noProof/>
        <w:color w:val="595959"/>
        <w:sz w:val="15"/>
        <w:szCs w:val="15"/>
      </w:rPr>
      <w:t>1</w:t>
    </w:r>
    <w:r>
      <w:rPr>
        <w:color w:val="595959"/>
        <w:sz w:val="15"/>
        <w:szCs w:val="15"/>
      </w:rPr>
      <w:fldChar w:fldCharType="end"/>
    </w:r>
    <w:r>
      <w:rPr>
        <w:color w:val="595959"/>
        <w:sz w:val="15"/>
        <w:szCs w:val="15"/>
      </w:rPr>
      <w:t xml:space="preserve"> / </w:t>
    </w:r>
    <w:r>
      <w:rPr>
        <w:color w:val="595959"/>
        <w:sz w:val="15"/>
        <w:szCs w:val="15"/>
      </w:rPr>
      <w:fldChar w:fldCharType="begin"/>
    </w:r>
    <w:r>
      <w:rPr>
        <w:color w:val="595959"/>
        <w:sz w:val="15"/>
        <w:szCs w:val="15"/>
      </w:rPr>
      <w:instrText>NUMPAGES</w:instrText>
    </w:r>
    <w:r>
      <w:rPr>
        <w:color w:val="595959"/>
        <w:sz w:val="15"/>
        <w:szCs w:val="15"/>
      </w:rPr>
      <w:fldChar w:fldCharType="separate"/>
    </w:r>
    <w:r>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352A3" w14:textId="77777777" w:rsidR="003652E5" w:rsidRDefault="003652E5">
      <w:r>
        <w:separator/>
      </w:r>
    </w:p>
  </w:footnote>
  <w:footnote w:type="continuationSeparator" w:id="0">
    <w:p w14:paraId="67C8A5C8" w14:textId="77777777" w:rsidR="003652E5" w:rsidRDefault="00365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5C9DD" w14:textId="77777777" w:rsidR="00116D99" w:rsidRDefault="003652E5">
    <w:pPr>
      <w:pBdr>
        <w:bottom w:val="single" w:sz="6" w:space="4" w:color="1F3864"/>
      </w:pBdr>
      <w:spacing w:after="20"/>
    </w:pPr>
    <w:r>
      <w:rPr>
        <w:b/>
        <w:bCs/>
        <w:color w:val="1F3864"/>
        <w:sz w:val="16"/>
        <w:szCs w:val="16"/>
      </w:rPr>
      <w:t>SITIAME CAPITAL</w:t>
    </w:r>
    <w:r>
      <w:ptab w:relativeTo="margin" w:alignment="right" w:leader="none"/>
    </w:r>
    <w:r>
      <w:rPr>
        <w:i/>
        <w:iCs/>
        <w:color w:val="B8860B"/>
        <w:sz w:val="16"/>
        <w:szCs w:val="16"/>
      </w:rPr>
      <w:t>Cadrage produit — PME360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6AB0"/>
    <w:multiLevelType w:val="hybridMultilevel"/>
    <w:tmpl w:val="FFFFFFFF"/>
    <w:lvl w:ilvl="0" w:tplc="7E46B58A">
      <w:start w:val="1"/>
      <w:numFmt w:val="bullet"/>
      <w:lvlText w:val="●"/>
      <w:lvlJc w:val="left"/>
      <w:pPr>
        <w:ind w:left="720" w:hanging="360"/>
      </w:pPr>
    </w:lvl>
    <w:lvl w:ilvl="1" w:tplc="DF66D36C">
      <w:start w:val="1"/>
      <w:numFmt w:val="bullet"/>
      <w:lvlText w:val="○"/>
      <w:lvlJc w:val="left"/>
      <w:pPr>
        <w:ind w:left="1440" w:hanging="360"/>
      </w:pPr>
    </w:lvl>
    <w:lvl w:ilvl="2" w:tplc="59046E2A">
      <w:start w:val="1"/>
      <w:numFmt w:val="bullet"/>
      <w:lvlText w:val="■"/>
      <w:lvlJc w:val="left"/>
      <w:pPr>
        <w:ind w:left="2160" w:hanging="360"/>
      </w:pPr>
    </w:lvl>
    <w:lvl w:ilvl="3" w:tplc="DC1252CA">
      <w:start w:val="1"/>
      <w:numFmt w:val="bullet"/>
      <w:lvlText w:val="●"/>
      <w:lvlJc w:val="left"/>
      <w:pPr>
        <w:ind w:left="2880" w:hanging="360"/>
      </w:pPr>
    </w:lvl>
    <w:lvl w:ilvl="4" w:tplc="7CAC5CF8">
      <w:start w:val="1"/>
      <w:numFmt w:val="bullet"/>
      <w:lvlText w:val="○"/>
      <w:lvlJc w:val="left"/>
      <w:pPr>
        <w:ind w:left="3600" w:hanging="360"/>
      </w:pPr>
    </w:lvl>
    <w:lvl w:ilvl="5" w:tplc="085060FA">
      <w:start w:val="1"/>
      <w:numFmt w:val="bullet"/>
      <w:lvlText w:val="■"/>
      <w:lvlJc w:val="left"/>
      <w:pPr>
        <w:ind w:left="4320" w:hanging="360"/>
      </w:pPr>
    </w:lvl>
    <w:lvl w:ilvl="6" w:tplc="C7189B16">
      <w:start w:val="1"/>
      <w:numFmt w:val="bullet"/>
      <w:lvlText w:val="●"/>
      <w:lvlJc w:val="left"/>
      <w:pPr>
        <w:ind w:left="5040" w:hanging="360"/>
      </w:pPr>
    </w:lvl>
    <w:lvl w:ilvl="7" w:tplc="19808FE2">
      <w:start w:val="1"/>
      <w:numFmt w:val="bullet"/>
      <w:lvlText w:val="●"/>
      <w:lvlJc w:val="left"/>
      <w:pPr>
        <w:ind w:left="5760" w:hanging="360"/>
      </w:pPr>
    </w:lvl>
    <w:lvl w:ilvl="8" w:tplc="6DC485E8">
      <w:start w:val="1"/>
      <w:numFmt w:val="bullet"/>
      <w:lvlText w:val="●"/>
      <w:lvlJc w:val="left"/>
      <w:pPr>
        <w:ind w:left="6480" w:hanging="360"/>
      </w:pPr>
    </w:lvl>
  </w:abstractNum>
  <w:abstractNum w:abstractNumId="1" w15:restartNumberingAfterBreak="0">
    <w:nsid w:val="2E72778E"/>
    <w:multiLevelType w:val="hybridMultilevel"/>
    <w:tmpl w:val="FFFFFFFF"/>
    <w:lvl w:ilvl="0" w:tplc="CE4AA57C">
      <w:start w:val="1"/>
      <w:numFmt w:val="bullet"/>
      <w:lvlText w:val="•"/>
      <w:lvlJc w:val="left"/>
      <w:pPr>
        <w:ind w:left="460" w:hanging="260"/>
      </w:pPr>
      <w:rPr>
        <w:color w:val="B8860B"/>
      </w:rPr>
    </w:lvl>
    <w:lvl w:ilvl="1" w:tplc="EDD24B50">
      <w:numFmt w:val="decimal"/>
      <w:lvlText w:val=""/>
      <w:lvlJc w:val="left"/>
    </w:lvl>
    <w:lvl w:ilvl="2" w:tplc="A3686A54">
      <w:numFmt w:val="decimal"/>
      <w:lvlText w:val=""/>
      <w:lvlJc w:val="left"/>
    </w:lvl>
    <w:lvl w:ilvl="3" w:tplc="8ED89520">
      <w:numFmt w:val="decimal"/>
      <w:lvlText w:val=""/>
      <w:lvlJc w:val="left"/>
    </w:lvl>
    <w:lvl w:ilvl="4" w:tplc="73EA4C5A">
      <w:numFmt w:val="decimal"/>
      <w:lvlText w:val=""/>
      <w:lvlJc w:val="left"/>
    </w:lvl>
    <w:lvl w:ilvl="5" w:tplc="822427E4">
      <w:numFmt w:val="decimal"/>
      <w:lvlText w:val=""/>
      <w:lvlJc w:val="left"/>
    </w:lvl>
    <w:lvl w:ilvl="6" w:tplc="9FF2AA56">
      <w:numFmt w:val="decimal"/>
      <w:lvlText w:val=""/>
      <w:lvlJc w:val="left"/>
    </w:lvl>
    <w:lvl w:ilvl="7" w:tplc="5A32B56A">
      <w:numFmt w:val="decimal"/>
      <w:lvlText w:val=""/>
      <w:lvlJc w:val="left"/>
    </w:lvl>
    <w:lvl w:ilvl="8" w:tplc="2DB84B28">
      <w:numFmt w:val="decimal"/>
      <w:lvlText w:val=""/>
      <w:lvlJc w:val="left"/>
    </w:lvl>
  </w:abstractNum>
  <w:num w:numId="1" w16cid:durableId="1600135692">
    <w:abstractNumId w:val="0"/>
    <w:lvlOverride w:ilvl="0">
      <w:startOverride w:val="1"/>
    </w:lvlOverride>
  </w:num>
  <w:num w:numId="2" w16cid:durableId="7058349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D99"/>
    <w:rsid w:val="00116D99"/>
    <w:rsid w:val="00187D7C"/>
    <w:rsid w:val="003652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A8507E9"/>
  <w15:docId w15:val="{3E709356-B7D1-1144-8D31-04EE44A52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856</Words>
  <Characters>4714</Characters>
  <Application>Microsoft Office Word</Application>
  <DocSecurity>0</DocSecurity>
  <Lines>39</Lines>
  <Paragraphs>11</Paragraphs>
  <ScaleCrop>false</ScaleCrop>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cadrage produit — PME360</dc:title>
  <dc:creator>SITIAME Capital</dc:creator>
  <cp:lastModifiedBy>Fernand N'GUESSAN</cp:lastModifiedBy>
  <cp:revision>2</cp:revision>
  <dcterms:created xsi:type="dcterms:W3CDTF">2026-07-12T23:58:00Z</dcterms:created>
  <dcterms:modified xsi:type="dcterms:W3CDTF">2026-07-12T23:58:00Z</dcterms:modified>
</cp:coreProperties>
</file>