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75467"/>
          <w:sz w:val="24"/>
        </w:rPr>
        <w:t>SITIAME CAPITAL</w:t>
      </w:r>
    </w:p>
    <w:p>
      <w:r>
        <w:rPr>
          <w:color w:val="475467"/>
          <w:sz w:val="20"/>
        </w:rPr>
        <w:t>Étude de faisabilité réglementaire — Confidentiel</w:t>
      </w:r>
    </w:p>
    <w:p/>
    <w:p>
      <w:pPr>
        <w:pStyle w:val="Title"/>
      </w:pPr>
      <w:r>
        <w:rPr>
          <w:color w:val="0F2747"/>
        </w:rPr>
        <w:t>Statut réglementaire du module d'initiation de paiement FedaPay</w:t>
      </w:r>
    </w:p>
    <w:tbl>
      <w:tblPr>
        <w:tblStyle w:val="TableGrid"/>
        <w:tblW w:type="auto" w:w="0"/>
        <w:tblLook w:firstColumn="1" w:firstRow="1" w:lastColumn="0" w:lastRow="0" w:noHBand="0" w:noVBand="1" w:val="04A0"/>
      </w:tblPr>
      <w:tblGrid>
        <w:gridCol w:w="4873"/>
        <w:gridCol w:w="4873"/>
      </w:tblGrid>
      <w:tr>
        <w:tc>
          <w:tcPr>
            <w:tcW w:type="dxa" w:w="1814"/>
          </w:tcPr>
          <w:p>
            <w:r>
              <w:rPr>
                <w:b/>
                <w:sz w:val="20"/>
              </w:rPr>
              <w:t>Objet</w:t>
            </w:r>
          </w:p>
        </w:tc>
        <w:tc>
          <w:tcPr>
            <w:tcW w:type="dxa" w:w="4873"/>
          </w:tcPr>
          <w:p>
            <w:r>
              <w:rPr>
                <w:sz w:val="20"/>
              </w:rPr>
              <w:t>Déterminer si PME360, via son intégration FedaPay, opère de fait comme un établissement de paiement ou un agent non déclaré en zone UMOA, et les options de régularisation</w:t>
            </w:r>
          </w:p>
        </w:tc>
      </w:tr>
      <w:tr>
        <w:tc>
          <w:tcPr>
            <w:tcW w:type="dxa" w:w="1814"/>
          </w:tcPr>
          <w:p>
            <w:r>
              <w:rPr>
                <w:b/>
                <w:sz w:val="20"/>
              </w:rPr>
              <w:t>Portée</w:t>
            </w:r>
          </w:p>
        </w:tc>
        <w:tc>
          <w:tcPr>
            <w:tcW w:type="dxa" w:w="4873"/>
          </w:tcPr>
          <w:p>
            <w:r>
              <w:rPr>
                <w:sz w:val="20"/>
              </w:rPr>
              <w:t>Uniquement l'initiation de paiement (FedaPaySandboxController / payment_module=fedapay_mobile). Le connecteur Mobile Money en lecture seule (réconciliation) est hors périmètre : aucun mouvement de fonds n'y est initié par PME360.</w:t>
            </w:r>
          </w:p>
        </w:tc>
      </w:tr>
      <w:tr>
        <w:tc>
          <w:tcPr>
            <w:tcW w:type="dxa" w:w="1814"/>
          </w:tcPr>
          <w:p>
            <w:r>
              <w:rPr>
                <w:b/>
                <w:sz w:val="20"/>
              </w:rPr>
              <w:t>Destinataires</w:t>
            </w:r>
          </w:p>
        </w:tc>
        <w:tc>
          <w:tcPr>
            <w:tcW w:type="dxa" w:w="4873"/>
          </w:tcPr>
          <w:p>
            <w:r>
              <w:rPr>
                <w:sz w:val="20"/>
              </w:rPr>
              <w:t>Direction produit — SITIAME Capital</w:t>
            </w:r>
          </w:p>
        </w:tc>
      </w:tr>
      <w:tr>
        <w:tc>
          <w:tcPr>
            <w:tcW w:type="dxa" w:w="1814"/>
          </w:tcPr>
          <w:p>
            <w:r>
              <w:rPr>
                <w:b/>
                <w:sz w:val="20"/>
              </w:rPr>
              <w:t>Date</w:t>
            </w:r>
          </w:p>
        </w:tc>
        <w:tc>
          <w:tcPr>
            <w:tcW w:type="dxa" w:w="4873"/>
          </w:tcPr>
          <w:p>
            <w:r>
              <w:rPr>
                <w:sz w:val="20"/>
              </w:rPr>
              <w:t>13 juillet 2026</w:t>
            </w:r>
          </w:p>
        </w:tc>
      </w:tr>
      <w:tr>
        <w:tc>
          <w:tcPr>
            <w:tcW w:type="dxa" w:w="1814"/>
          </w:tcPr>
          <w:p>
            <w:r>
              <w:rPr>
                <w:b/>
                <w:sz w:val="20"/>
              </w:rPr>
              <w:t>Statut</w:t>
            </w:r>
          </w:p>
        </w:tc>
        <w:tc>
          <w:tcPr>
            <w:tcW w:type="dxa" w:w="4873"/>
          </w:tcPr>
          <w:p>
            <w:r>
              <w:rPr>
                <w:sz w:val="20"/>
              </w:rPr>
              <w:t>Analyse documentaire préparatoire — ne constitue pas une consultation juridique</w:t>
            </w:r>
          </w:p>
        </w:tc>
      </w:tr>
    </w:tbl>
    <w:p/>
    <w:tbl>
      <w:tblPr>
        <w:tblStyle w:val="TableGrid"/>
        <w:tblW w:type="auto" w:w="0"/>
        <w:tblLook w:firstColumn="1" w:firstRow="1" w:lastColumn="0" w:lastRow="0" w:noHBand="0" w:noVBand="1" w:val="04A0"/>
      </w:tblPr>
      <w:tblGrid>
        <w:gridCol w:w="9746"/>
      </w:tblGrid>
      <w:tr>
        <w:tc>
          <w:tcPr>
            <w:tcW w:type="dxa" w:w="9746"/>
            <w:shd w:val="clear" w:color="auto" w:fill="FFF4E5"/>
          </w:tcPr>
          <w:p>
            <w:r>
              <w:rPr>
                <w:b/>
                <w:color w:val="B47A00"/>
                <w:sz w:val="20"/>
              </w:rPr>
              <w:t>⚠ Avertissement méthodologique</w:t>
            </w:r>
          </w:p>
          <w:p>
            <w:r>
              <w:rPr>
                <w:sz w:val="20"/>
              </w:rPr>
              <w:t>Cette étude a été élaborée à partir de la lecture directe du texte intégral de l'Instruction BCEAO n°001-01-2024 et de sources publiques (site de la BCEAO, mentions légales de FedaPay). Elle ne remplace pas une consultation auprès d'un avocat spécialisé en droit bancaire et des paiements dans l'UMOA. Chaque zone d'incertitude est signalée explicitement plutôt que tranchée par défaut, conformément à la demande de cadrage de cette étude.</w:t>
            </w:r>
          </w:p>
        </w:tc>
      </w:tr>
    </w:tbl>
    <w:p/>
    <w:p>
      <w:pPr>
        <w:pStyle w:val="Heading1"/>
      </w:pPr>
      <w:r>
        <w:t>Résumé exécutif</w:t>
      </w:r>
    </w:p>
    <w:p>
      <w:r>
        <w:t>Le cadre applicable a changé depuis la rédaction du cadrage produit initial : la BCEAO a créé, par l'Instruction n°001-01-2024 entrée en vigueur le 23 janvier 2024, un statut réglementaire dédié d'« établissement de paiement », qui couvre explicitement les services d'initiation de paiement. FedaPay SA (Bénin) déclare détenir sa propre licence sous ce régime (agrément d'agrégateur de paiement EP.BN.004/2026, source : mentions légales FedaPay — non vérifié directement auprès du registre BCEAO). PME360 n'a donc probablement pas besoin de son propre agrément d'établissement de paiement pour continuer à utiliser FedaPay. En revanche, l'instruction prévoit une catégorie intermédiaire — l'« agent de services de paiement » (articles 38 à 41) — qui correspond précisément au rôle que joue PME360 en intégrant le service d'initiation de FedaPay dans son propre produit pour ses utilisateurs. Cette activité est soumise à immatriculation préalable obligatoire auprès de la BCEAO (article 38), initiée par l'établissement mandant (FedaPay). Aucun élément consulté n'indique que cette immatriculation a été effectuée. C'est là l'écart concret à traiter — plus précis et plus actionnable que l'hypothèse initiale d'un besoin de licence propre à PME360.</w:t>
      </w:r>
    </w:p>
    <w:p>
      <w:pPr>
        <w:pStyle w:val="Heading1"/>
      </w:pPr>
      <w:r>
        <w:t>1. Qualification réglementaire actuelle</w:t>
      </w:r>
    </w:p>
    <w:p>
      <w:pPr>
        <w:pStyle w:val="Heading2"/>
      </w:pPr>
      <w:r>
        <w:t>1.1 Cadre applicable</w:t>
      </w:r>
    </w:p>
    <w:p>
      <w:r>
        <w:t>Deux textes BCEAO coexistent et couvrent des périmètres différents :</w:t>
      </w:r>
    </w:p>
    <w:p>
      <w:pPr>
        <w:pStyle w:val="ListBullet"/>
      </w:pPr>
      <w:r>
        <w:rPr>
          <w:b/>
        </w:rPr>
        <w:t>Instruction n°008-05-2015 du 21 mai 2015</w:t>
      </w:r>
      <w:r>
        <w:t xml:space="preserve"> régissant les émetteurs de monnaie électronique (EME) — cadre historique sous lequel opèrent typiquement les opérateurs Mobile Money eux-mêmes (Wave, Orange Money, MTN MoMo), directement ou via un partenariat avec une banque/EME agréée. Ce texte concerne l'émission de monnaie électronique, pas l'intégration technique d'un tiers comme PME360.</w:t>
      </w:r>
    </w:p>
    <w:p>
      <w:pPr>
        <w:pStyle w:val="ListBullet"/>
      </w:pPr>
      <w:r>
        <w:rPr>
          <w:b/>
        </w:rPr>
        <w:t>Instruction n°001-01-2024 du 23 janvier 2024</w:t>
      </w:r>
      <w:r>
        <w:t xml:space="preserve"> relative aux services de paiement dans l'UMOA — texte plus récent et directement pertinent : il crée le statut d'« établissement de paiement » et définit, à son article 4, huit catégories de services de paiement, dont « vii) les services d'initiation de paiement ». C'est ce texte qui encadre le rôle exact de FedaPay et, potentiellement, celui de PME360.</w:t>
      </w:r>
    </w:p>
    <w:p>
      <w:r>
        <w:rPr>
          <w:i/>
          <w:color w:val="475467"/>
          <w:sz w:val="17"/>
        </w:rPr>
        <w:t>Source : BCEAO, Instruction N°001-01-2024 relative aux services de paiement dans l'UMOA, https://www.bceao.int/sites/default/files/2024-02/Instruction%20N%C2%B0001-01-2024%20relative%20aux%20services%20de%20paiement%20dans%20l'UMOA%20%20ok.pdf ; BCEAO, Instruction N°008-05-2015, https://www.bceao.int/fr/reglementations/instruction-ndeg008-05-2015-regissant-les-conditions-et-modalites-dexercice-des</w:t>
      </w:r>
    </w:p>
    <w:p>
      <w:pPr>
        <w:pStyle w:val="Heading2"/>
      </w:pPr>
      <w:r>
        <w:t>1.2 Statut de FedaPay</w:t>
      </w:r>
    </w:p>
    <w:p>
      <w:r>
        <w:t>FedaPay SA (immatriculée au Bénin, RCCM RB/COT/19/B24720, siège à Cotonou) déclare sur sa page de mentions légales détenir un « agrément d'agrégateur de paiement de la BCEAO sous l'identifiant EP.BN.004/2026 ». Le préfixe « EP » est cohérent avec la terminologie « Établissement de Paiement » de l'instruction n°001-01-2024.</w:t>
      </w:r>
    </w:p>
    <w:tbl>
      <w:tblPr>
        <w:tblStyle w:val="TableGrid"/>
        <w:tblW w:type="auto" w:w="0"/>
        <w:tblLook w:firstColumn="1" w:firstRow="1" w:lastColumn="0" w:lastRow="0" w:noHBand="0" w:noVBand="1" w:val="04A0"/>
      </w:tblPr>
      <w:tblGrid>
        <w:gridCol w:w="9746"/>
      </w:tblGrid>
      <w:tr>
        <w:tc>
          <w:tcPr>
            <w:tcW w:type="dxa" w:w="9746"/>
            <w:shd w:val="clear" w:color="auto" w:fill="FFF4E5"/>
          </w:tcPr>
          <w:p>
            <w:r>
              <w:rPr>
                <w:b/>
                <w:color w:val="B47A00"/>
                <w:sz w:val="20"/>
              </w:rPr>
              <w:t>⚠ Zone d'incertitude n°1</w:t>
            </w:r>
          </w:p>
          <w:p>
            <w:r>
              <w:rPr>
                <w:sz w:val="20"/>
              </w:rPr>
              <w:t>Cette information provient exclusivement de la déclaration de FedaPay sur son propre site — elle n'a pas été confrontée au registre officiel des établissements de paiement agréés tenu par la BCEAO (registre non localisé/consulté dans le cadre de cette étude). Une vérification directe auprès de la BCEAO ou de la Commission Bancaire de l'UMOA est recommandée avant toute décision engageante.</w:t>
            </w:r>
          </w:p>
        </w:tc>
      </w:tr>
    </w:tbl>
    <w:p/>
    <w:p>
      <w:r>
        <w:t>Si cette licence est valide et à jour, FedaPay porte la responsabilité réglementaire du service d'initiation de paiement en tant que tel : PME360 n'a donc pas, de ce seul fait, à détenir son propre agrément d'établissement de paiement pour utiliser l'API de FedaPay — de la même manière qu'un site marchand utilisant Stripe ou un autre PSP agréé n'a pas besoin de sa propre licence pour encaisser des paiements en ligne.</w:t>
      </w:r>
    </w:p>
    <w:p>
      <w:pPr>
        <w:pStyle w:val="Heading2"/>
      </w:pPr>
      <w:r>
        <w:t>1.3 Le point précis à clarifier : PME360 comme « agent de services de paiement »</w:t>
      </w:r>
    </w:p>
    <w:p>
      <w:r>
        <w:t>L'instruction définit l'agent de services de paiement comme « une personne physique ou morale immatriculée auprès de la Banque Centrale, agissant pour le compte d'un ou de plusieurs prestataires de services de paiement en vue de la fourniture du ou des services de paiement pour lequel ou lesquels elle est mandatée » (article 3.3). L'article 38 est catégorique : « Nul ne peut exercer l'activité d'agent de services de paiement sans avoir été préalablement immatriculé par la Banque Centrale. » Cette immatriculation est initiée par l'établissement de paiement mandant — ici, FedaPay — qui transmet à la BCEAO l'identité de l'agent, le contrat qui les lie, un dispositif de contrôle LCB-FT et l'honorabilité des dirigeants ; le délai d'instruction est de trente jours à compter d'un dossier complet.</w:t>
      </w:r>
    </w:p>
    <w:p>
      <w:r>
        <w:t>PME360 intègre le service d'initiation de paiement de FedaPay directement dans son propre produit, pour le compte de ses propres utilisateurs PME (paiement fournisseur, encaissement client « depuis PME360 »). Ce mode d'intégration correspond, sur la base de la seule lecture du texte, aux caractéristiques d'un agent de services de paiement plutôt qu'à celles d'un simple utilisateur/marchand final du service. L'instruction ne prévoit pas d'exemption générale pour les « prestataires techniques » qui n'entrent jamais en possession des fonds — contrairement à certains cadres européens de type PSD2 — ce qui réduit la marge d'interprétation favorable à un statu quo non déclaré.</w:t>
      </w:r>
    </w:p>
    <w:tbl>
      <w:tblPr>
        <w:tblStyle w:val="TableGrid"/>
        <w:tblW w:type="auto" w:w="0"/>
        <w:tblLook w:firstColumn="1" w:firstRow="1" w:lastColumn="0" w:lastRow="0" w:noHBand="0" w:noVBand="1" w:val="04A0"/>
      </w:tblPr>
      <w:tblGrid>
        <w:gridCol w:w="9746"/>
      </w:tblGrid>
      <w:tr>
        <w:tc>
          <w:tcPr>
            <w:tcW w:type="dxa" w:w="9746"/>
            <w:shd w:val="clear" w:color="auto" w:fill="FFF4E5"/>
          </w:tcPr>
          <w:p>
            <w:r>
              <w:rPr>
                <w:b/>
                <w:color w:val="B47A00"/>
                <w:sz w:val="20"/>
              </w:rPr>
              <w:t>⚠ Zone d'incertitude n°2</w:t>
            </w:r>
          </w:p>
          <w:p>
            <w:r>
              <w:rPr>
                <w:sz w:val="20"/>
              </w:rPr>
              <w:t>La qualification exacte de PME360 (agent vs simple marchand/utilisateur professionnel du service) dépend des termes du contrat commercial liant SITIAME Capital et FedaPay, qui n'a pas été consulté dans le cadre de cette étude. Il est possible que les conditions générales de FedaPay couvrent déjà ce type d'intégration sous un régime distinct (ex. compte marchand standard). Cette hypothèse doit être vérifiée directement auprès de FedaPay avant toute conclusion définitive — c'est le point de départ recommandé en section 4.</w:t>
            </w:r>
          </w:p>
        </w:tc>
      </w:tr>
    </w:tbl>
    <w:p/>
    <w:p>
      <w:r>
        <w:t>L'article 40 précise par ailleurs les obligations propres à l'agent fournissant un service d'initiation de paiement : agir strictement dans le cadre du mandat, informer le client de sa qualité de mandataire et de l'identité de l'établissement mandant, et souscrire une assurance responsabilité civile professionnelle ou une garantie financière (cautionnement bancaire ou d'assurance) couvrant les pertes liées à un accès frauduleux ou une opération mal exécutée. Aucun de ces trois éléments n'apparaît actuellement dans le produit (aucune mention de FedaPay comme mandant dans l'interface, aucune trace d'assurance ou de garantie dédiée).</w:t>
      </w:r>
    </w:p>
    <w:p>
      <w:r>
        <w:rPr>
          <w:i/>
          <w:color w:val="475467"/>
          <w:sz w:val="17"/>
        </w:rPr>
        <w:t>Source : BCEAO, Instruction N°001-01-2024, articles 2, 3, 4, 38, 39 et 40.</w:t>
      </w:r>
    </w:p>
    <w:p>
      <w:pPr>
        <w:pStyle w:val="Heading2"/>
      </w:pPr>
      <w:r>
        <w:t>1.4 Position de la BCEAO sur les plateformes tierces</w:t>
      </w:r>
    </w:p>
    <w:p>
      <w:r>
        <w:t>L'instruction ne mentionne pas nommément les « plateformes tierces » ou « marques blanches » ; elle traite ce cas de figure via le mécanisme général agent/mandant décrit ci-dessus, qui s'applique à toute entité fournissant un service de paiement pour le compte d'un établissement agréé, quel que soit le vocabulaire commercial employé (marque blanche, intégration API, plug-in). Aucune position spécifique et publiquement documentée de la BCEAO sur le cas précis d'un logiciel de gestion intégrant un agrégateur n'a été identifiée au-delà du texte de l'instruction elle-même.</w:t>
      </w:r>
    </w:p>
    <w:p>
      <w:r>
        <w:br w:type="page"/>
      </w:r>
    </w:p>
    <w:p>
      <w:pPr>
        <w:pStyle w:val="Heading1"/>
      </w:pPr>
      <w:r>
        <w:t>2. Scénarios possibles et implications</w:t>
      </w:r>
    </w:p>
    <w:p>
      <w:pPr>
        <w:pStyle w:val="Heading2"/>
      </w:pPr>
      <w:r>
        <w:t>Scénario A — Régulariser via l'immatriculation comme agent de FedaPay</w:t>
      </w:r>
    </w:p>
    <w:p>
      <w:r>
        <w:t>SITIAME Capital demande à FedaPay d'initier la procédure d'immatriculation de PME360 comme agent de services de paiement (article 38) : constitution du dossier (identification, contrat agent-mandant, dispositif de contrôle LCB-FT, honorabilité des dirigeants), souscription de l'assurance RC professionnelle ou de la garantie financière requise (article 40), et mise à jour de l'interface pour informer les utilisateurs de la qualité de mandataire de PME360 et de l'identité de FedaPay.</w:t>
      </w:r>
    </w:p>
    <w:p>
      <w:pPr>
        <w:pStyle w:val="Heading2"/>
      </w:pPr>
      <w:r>
        <w:t>Scénario B — Geler l'accès à l'initiation de paiement</w:t>
      </w:r>
    </w:p>
    <w:p>
      <w:r>
        <w:t>Retirer l'option FedaPay du formulaire de trésorerie en production ; ne conserver que la réconciliation Mobile Money en lecture seule, qui ne pose aucune difficulté de qualification puisqu'aucun mouvement de fonds n'est initié par PME360. L'impact sur les utilisateurs actuels (nombre de transactions historiques en payment_module=fedapay_mobile, utilisateurs actifs concernés, dépendance business éventuelle des abonnements premium payés par ce canal) n'a pas été mesuré dans le cadre de cette étude et constitue un préalable factuel à établir avant tout arbitrage.</w:t>
      </w:r>
    </w:p>
    <w:p>
      <w:pPr>
        <w:pStyle w:val="Heading2"/>
      </w:pPr>
      <w:r>
        <w:t>Scénario C — Statut d'établissement de paiement propre à PME360</w:t>
      </w:r>
    </w:p>
    <w:p>
      <w:r>
        <w:t>SITIAME Capital demande son propre agrément ou enregistrement en tant qu'établissement de paiement fournissant le service d'initiation de paiement, indépendamment de FedaPay. Capital social minimum requis (article 11) : 20 millions FCFA pour l'initiation de paiement seule, 30 millions FCFA si combinée à l'agrégation de comptes. S'ajoutent une gouvernance dédiée, un dispositif LCB-FT complet, la désignation de commissaires aux comptes approuvés par la Commission Bancaire (article 43) et un reporting réglementaire récurrent.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color="auto" w:fill="0F2747"/>
          </w:tcPr>
          <w:p>
            <w:r>
              <w:rPr>
                <w:b/>
                <w:color w:val="FFFFFF"/>
                <w:sz w:val="20"/>
              </w:rPr>
              <w:t>Scénario</w:t>
            </w:r>
          </w:p>
        </w:tc>
        <w:tc>
          <w:tcPr>
            <w:tcW w:type="dxa" w:w="2098"/>
            <w:shd w:val="clear" w:color="auto" w:fill="0F2747"/>
          </w:tcPr>
          <w:p>
            <w:r>
              <w:rPr>
                <w:b/>
                <w:color w:val="FFFFFF"/>
                <w:sz w:val="20"/>
              </w:rPr>
              <w:t>Effort / délai estimé</w:t>
            </w:r>
          </w:p>
        </w:tc>
        <w:tc>
          <w:tcPr>
            <w:tcW w:type="dxa" w:w="2211"/>
            <w:shd w:val="clear" w:color="auto" w:fill="0F2747"/>
          </w:tcPr>
          <w:p>
            <w:r>
              <w:rPr>
                <w:b/>
                <w:color w:val="FFFFFF"/>
                <w:sz w:val="20"/>
              </w:rPr>
              <w:t>Coût estimé</w:t>
            </w:r>
          </w:p>
        </w:tc>
        <w:tc>
          <w:tcPr>
            <w:tcW w:type="dxa" w:w="1701"/>
            <w:shd w:val="clear" w:color="auto" w:fill="0F2747"/>
          </w:tcPr>
          <w:p>
            <w:r>
              <w:rPr>
                <w:b/>
                <w:color w:val="FFFFFF"/>
                <w:sz w:val="20"/>
              </w:rPr>
              <w:t>Avantage principal</w:t>
            </w:r>
          </w:p>
        </w:tc>
        <w:tc>
          <w:tcPr>
            <w:tcW w:type="dxa" w:w="1701"/>
            <w:shd w:val="clear" w:color="auto" w:fill="0F2747"/>
          </w:tcPr>
          <w:p>
            <w:r>
              <w:rPr>
                <w:b/>
                <w:color w:val="FFFFFF"/>
                <w:sz w:val="20"/>
              </w:rPr>
              <w:t>Limite principale</w:t>
            </w:r>
          </w:p>
        </w:tc>
      </w:tr>
      <w:tr>
        <w:tc>
          <w:tcPr>
            <w:tcW w:type="dxa" w:w="1587"/>
          </w:tcPr>
          <w:p>
            <w:pPr>
              <w:spacing w:after="40"/>
            </w:pPr>
            <w:r>
              <w:rPr>
                <w:sz w:val="19"/>
              </w:rPr>
              <w:t>A — Agent immatriculé</w:t>
            </w:r>
          </w:p>
        </w:tc>
        <w:tc>
          <w:tcPr>
            <w:tcW w:type="dxa" w:w="2098"/>
          </w:tcPr>
          <w:p>
            <w:pPr>
              <w:spacing w:after="40"/>
            </w:pPr>
            <w:r>
              <w:rPr>
                <w:sz w:val="19"/>
              </w:rPr>
              <w:t>Dossier avec FedaPay ; instruction BCEAO : 30 jours après dossier complet (art. 38). Préparation réaliste : 2 à 4 mois.</w:t>
            </w:r>
          </w:p>
        </w:tc>
        <w:tc>
          <w:tcPr>
            <w:tcW w:type="dxa" w:w="2211"/>
          </w:tcPr>
          <w:p>
            <w:pPr>
              <w:spacing w:after="40"/>
            </w:pPr>
            <w:r>
              <w:rPr>
                <w:sz w:val="19"/>
              </w:rPr>
              <w:t>Prime d'assurance RC pro. ou cautionnement (à chiffrer avec un assureur/banque local) + honoraires juridiques de mise en conformité contractuelle. Pas de capital minimum requis.</w:t>
            </w:r>
          </w:p>
        </w:tc>
        <w:tc>
          <w:tcPr>
            <w:tcW w:type="dxa" w:w="1701"/>
          </w:tcPr>
          <w:p>
            <w:pPr>
              <w:spacing w:after="40"/>
            </w:pPr>
            <w:r>
              <w:rPr>
                <w:sz w:val="19"/>
              </w:rPr>
              <w:t>Régularise sans interrompre le service ; proportionné au rôle réel de PME360.</w:t>
            </w:r>
          </w:p>
        </w:tc>
        <w:tc>
          <w:tcPr>
            <w:tcW w:type="dxa" w:w="1701"/>
          </w:tcPr>
          <w:p>
            <w:pPr>
              <w:spacing w:after="40"/>
            </w:pPr>
            <w:r>
              <w:rPr>
                <w:sz w:val="19"/>
              </w:rPr>
              <w:t>Dépend de la coopération de FedaPay pour initier la démarche.</w:t>
            </w:r>
          </w:p>
        </w:tc>
      </w:tr>
      <w:tr>
        <w:tc>
          <w:tcPr>
            <w:tcW w:type="dxa" w:w="1587"/>
          </w:tcPr>
          <w:p>
            <w:pPr>
              <w:spacing w:after="40"/>
            </w:pPr>
            <w:r>
              <w:rPr>
                <w:sz w:val="19"/>
              </w:rPr>
              <w:t>B — Geler l'accès</w:t>
            </w:r>
          </w:p>
        </w:tc>
        <w:tc>
          <w:tcPr>
            <w:tcW w:type="dxa" w:w="2098"/>
          </w:tcPr>
          <w:p>
            <w:pPr>
              <w:spacing w:after="40"/>
            </w:pPr>
            <w:r>
              <w:rPr>
                <w:sz w:val="19"/>
              </w:rPr>
              <w:t>Quelques heures de développement (retrait d'option + route).</w:t>
            </w:r>
          </w:p>
        </w:tc>
        <w:tc>
          <w:tcPr>
            <w:tcW w:type="dxa" w:w="2211"/>
          </w:tcPr>
          <w:p>
            <w:pPr>
              <w:spacing w:after="40"/>
            </w:pPr>
            <w:r>
              <w:rPr>
                <w:sz w:val="19"/>
              </w:rPr>
              <w:t>Quasi nul en développement ; coût d'opportunité sur la fonctionnalité.</w:t>
            </w:r>
          </w:p>
        </w:tc>
        <w:tc>
          <w:tcPr>
            <w:tcW w:type="dxa" w:w="1701"/>
          </w:tcPr>
          <w:p>
            <w:pPr>
              <w:spacing w:after="40"/>
            </w:pPr>
            <w:r>
              <w:rPr>
                <w:sz w:val="19"/>
              </w:rPr>
              <w:t>Élimine immédiatement le risque identifié.</w:t>
            </w:r>
          </w:p>
        </w:tc>
        <w:tc>
          <w:tcPr>
            <w:tcW w:type="dxa" w:w="1701"/>
          </w:tcPr>
          <w:p>
            <w:pPr>
              <w:spacing w:after="40"/>
            </w:pPr>
            <w:r>
              <w:rPr>
                <w:sz w:val="19"/>
              </w:rPr>
              <w:t>Renonce à une fonctionnalité potentiellement déjà adoptée, sans mesure d'impact préalable.</w:t>
            </w:r>
          </w:p>
        </w:tc>
      </w:tr>
      <w:tr>
        <w:tc>
          <w:tcPr>
            <w:tcW w:type="dxa" w:w="1587"/>
          </w:tcPr>
          <w:p>
            <w:pPr>
              <w:spacing w:after="40"/>
            </w:pPr>
            <w:r>
              <w:rPr>
                <w:sz w:val="19"/>
              </w:rPr>
              <w:t>C — Agrément propre</w:t>
            </w:r>
          </w:p>
        </w:tc>
        <w:tc>
          <w:tcPr>
            <w:tcW w:type="dxa" w:w="2098"/>
          </w:tcPr>
          <w:p>
            <w:pPr>
              <w:spacing w:after="40"/>
            </w:pPr>
            <w:r>
              <w:rPr>
                <w:sz w:val="19"/>
              </w:rPr>
              <w:t>Démarche lourde ; 6 à 12 mois estimés par analogie avec des dossiers récents dans la région.</w:t>
            </w:r>
          </w:p>
        </w:tc>
        <w:tc>
          <w:tcPr>
            <w:tcW w:type="dxa" w:w="2211"/>
          </w:tcPr>
          <w:p>
            <w:pPr>
              <w:spacing w:after="40"/>
            </w:pPr>
            <w:r>
              <w:rPr>
                <w:sz w:val="19"/>
              </w:rPr>
              <w:t>Capital 20 à 30 M FCFA + gouvernance dédiée + commissaires aux comptes + reporting récurrent.</w:t>
            </w:r>
          </w:p>
        </w:tc>
        <w:tc>
          <w:tcPr>
            <w:tcW w:type="dxa" w:w="1701"/>
          </w:tcPr>
          <w:p>
            <w:pPr>
              <w:spacing w:after="40"/>
            </w:pPr>
            <w:r>
              <w:rPr>
                <w:sz w:val="19"/>
              </w:rPr>
              <w:t>Indépendance totale vis-à-vis de FedaPay.</w:t>
            </w:r>
          </w:p>
        </w:tc>
        <w:tc>
          <w:tcPr>
            <w:tcW w:type="dxa" w:w="1701"/>
          </w:tcPr>
          <w:p>
            <w:pPr>
              <w:spacing w:after="40"/>
            </w:pPr>
            <w:r>
              <w:rPr>
                <w:sz w:val="19"/>
              </w:rPr>
              <w:t>Disproportionné par rapport à la place secondaire de ce module dans la stratégie produit.</w:t>
            </w:r>
          </w:p>
        </w:tc>
      </w:tr>
    </w:tbl>
    <w:p>
      <w:r>
        <w:rPr>
          <w:i/>
          <w:color w:val="475467"/>
          <w:sz w:val="17"/>
        </w:rPr>
        <w:t>Source : BCEAO, Instruction N°001-01-2024, articles 11, 38, 40, 43. Délais et coûts d'assurance estimés par analogie faute de barème publié pour ces montants.</w:t>
      </w:r>
    </w:p>
    <w:p>
      <w:r>
        <w:br w:type="page"/>
      </w:r>
    </w:p>
    <w:p>
      <w:pPr>
        <w:pStyle w:val="Heading1"/>
      </w:pPr>
      <w:r>
        <w:t>3. Risques en cas de statu quo (ne rien faire)</w:t>
      </w:r>
    </w:p>
    <w:p>
      <w:pPr>
        <w:pStyle w:val="ListBullet"/>
      </w:pPr>
      <w:r>
        <w:rPr>
          <w:b/>
        </w:rPr>
        <w:t xml:space="preserve">Exposition réglementaire directe : </w:t>
      </w:r>
      <w:r>
        <w:t>l'article 38 pose une interdiction explicite d'exercer l'activité d'agent de services de paiement sans immatriculation préalable. Le statu quo maintient une activité non couverte par cette immatriculation.</w:t>
      </w:r>
    </w:p>
    <w:p>
      <w:pPr>
        <w:pStyle w:val="ListBullet"/>
      </w:pPr>
      <w:r>
        <w:rPr>
          <w:b/>
        </w:rPr>
        <w:t xml:space="preserve">Risque de coupure d'accès par FedaPay elle-même : </w:t>
      </w:r>
      <w:r>
        <w:t>l'article 39 impose à l'établissement mandant de contrôler ses agents et de s'assurer de leur conformité permanente. Si FedaPay identifie que PME360 opère sans immatriculation, elle est en droit d'exiger la régularisation ou de couper l'accès à son API, avec un risque de rupture de service sans préavis pour SITIAME Capital — un risque business plus immédiat que le risque réglementaire direct.</w:t>
      </w:r>
    </w:p>
    <w:p>
      <w:pPr>
        <w:pStyle w:val="ListBullet"/>
      </w:pPr>
      <w:r>
        <w:rPr>
          <w:b/>
        </w:rPr>
        <w:t xml:space="preserve">Couverture assurantielle absente : </w:t>
      </w:r>
      <w:r>
        <w:t>l'obligation d'assurance RC professionnelle ou de garantie financière (article 40) vise précisément à couvrir les pertes liées à un accès frauduleux ou une opération mal exécutée. Son absence prive potentiellement PME360 et ses utilisateurs d'une protection qu'un agent immatriculé aurait par obligation légale, en cas de litige sur un mouvement de fonds (fonds mal dirigés, fraude).</w:t>
      </w:r>
    </w:p>
    <w:p>
      <w:pPr>
        <w:pStyle w:val="ListBullet"/>
      </w:pPr>
      <w:r>
        <w:rPr>
          <w:b/>
        </w:rPr>
        <w:t xml:space="preserve">Responsabilité vis-à-vis des utilisateurs finaux : </w:t>
      </w:r>
      <w:r>
        <w:t>l'article 39 indique que FedaPay « demeure pleinement responsable, vis-à-vis des tiers, des actes effectués en son nom » par ses agents, ce qui protège en théorie l'utilisateur final PME. Cela ne protège pas SITIAME Capital d'une action contractuelle de FedaPay en cas de manquement identifié.</w:t>
      </w:r>
    </w:p>
    <w:tbl>
      <w:tblPr>
        <w:tblStyle w:val="TableGrid"/>
        <w:tblW w:type="auto" w:w="0"/>
        <w:tblLook w:firstColumn="1" w:firstRow="1" w:lastColumn="0" w:lastRow="0" w:noHBand="0" w:noVBand="1" w:val="04A0"/>
      </w:tblPr>
      <w:tblGrid>
        <w:gridCol w:w="9746"/>
      </w:tblGrid>
      <w:tr>
        <w:tc>
          <w:tcPr>
            <w:tcW w:type="dxa" w:w="9746"/>
            <w:shd w:val="clear" w:color="auto" w:fill="FFF4E5"/>
          </w:tcPr>
          <w:p>
            <w:r>
              <w:rPr>
                <w:b/>
                <w:color w:val="B47A00"/>
                <w:sz w:val="20"/>
              </w:rPr>
              <w:t>⚠ Zone d'incertitude n°3</w:t>
            </w:r>
          </w:p>
          <w:p>
            <w:r>
              <w:rPr>
                <w:sz w:val="20"/>
              </w:rPr>
              <w:t>Aucun élément ne permet d'évaluer la probabilité réelle d'un contrôle BCEAO ciblant spécifiquement ce point, ni le niveau de tolérance pratique de la Banque Centrale envers une régularisation engagée de bonne foi (une telle tolérance est courante dans plusieurs juridictions comparables, mais n'est pas documentée ici pour l'UMOA). Cette appréciation relève d'un avocat en exercice dans la région, pas d'une analyse documentaire à distance.</w:t>
            </w:r>
          </w:p>
        </w:tc>
      </w:tr>
    </w:tbl>
    <w:p>
      <w:r>
        <w:br w:type="page"/>
      </w:r>
    </w:p>
    <w:p>
      <w:pPr>
        <w:pStyle w:val="Heading1"/>
      </w:pPr>
      <w:r>
        <w:t>4. Recommandation priorisée</w:t>
      </w:r>
    </w:p>
    <w:p>
      <w:r>
        <w:t>Recommandation : Scénario A en priorité (immatriculation comme agent de FedaPay), avec le Scénario B en filet de sécurité si la démarche n'aboutit pas dans un délai raisonnable. Le Scénario C n'est pas recommandé à court terme.</w:t>
      </w:r>
    </w:p>
    <w:tbl>
      <w:tblPr>
        <w:tblStyle w:val="TableGrid"/>
        <w:tblW w:type="auto" w:w="0"/>
        <w:jc w:val="center"/>
        <w:tblLook w:firstColumn="1" w:firstRow="1" w:lastColumn="0" w:lastRow="0" w:noHBand="0" w:noVBand="1" w:val="04A0"/>
      </w:tblPr>
      <w:tblGrid>
        <w:gridCol w:w="3249"/>
        <w:gridCol w:w="3249"/>
        <w:gridCol w:w="3249"/>
      </w:tblGrid>
      <w:tr>
        <w:tc>
          <w:tcPr>
            <w:tcW w:type="dxa" w:w="737"/>
            <w:shd w:val="clear" w:color="auto" w:fill="0F2747"/>
          </w:tcPr>
          <w:p>
            <w:r>
              <w:rPr>
                <w:b/>
                <w:color w:val="FFFFFF"/>
                <w:sz w:val="20"/>
              </w:rPr>
              <w:t>Étape</w:t>
            </w:r>
          </w:p>
        </w:tc>
        <w:tc>
          <w:tcPr>
            <w:tcW w:type="dxa" w:w="6520"/>
            <w:shd w:val="clear" w:color="auto" w:fill="0F2747"/>
          </w:tcPr>
          <w:p>
            <w:r>
              <w:rPr>
                <w:b/>
                <w:color w:val="FFFFFF"/>
                <w:sz w:val="20"/>
              </w:rPr>
              <w:t>Action</w:t>
            </w:r>
          </w:p>
        </w:tc>
        <w:tc>
          <w:tcPr>
            <w:tcW w:type="dxa" w:w="2041"/>
            <w:shd w:val="clear" w:color="auto" w:fill="0F2747"/>
          </w:tcPr>
          <w:p>
            <w:r>
              <w:rPr>
                <w:b/>
                <w:color w:val="FFFFFF"/>
                <w:sz w:val="20"/>
              </w:rPr>
              <w:t>Délai indicatif</w:t>
            </w:r>
          </w:p>
        </w:tc>
      </w:tr>
      <w:tr>
        <w:tc>
          <w:tcPr>
            <w:tcW w:type="dxa" w:w="737"/>
          </w:tcPr>
          <w:p>
            <w:pPr>
              <w:spacing w:after="40"/>
            </w:pPr>
            <w:r>
              <w:rPr>
                <w:sz w:val="19"/>
              </w:rPr>
              <w:t>1</w:t>
            </w:r>
          </w:p>
        </w:tc>
        <w:tc>
          <w:tcPr>
            <w:tcW w:type="dxa" w:w="6520"/>
          </w:tcPr>
          <w:p>
            <w:pPr>
              <w:spacing w:after="40"/>
            </w:pPr>
            <w:r>
              <w:rPr>
                <w:sz w:val="19"/>
              </w:rPr>
              <w:t>Quantifier l'usage actuel du module FedaPay (transactions historiques, utilisateurs actifs, dépendance business des abonnements premium) — prérequis factuel quel que soit le scénario retenu.</w:t>
            </w:r>
          </w:p>
        </w:tc>
        <w:tc>
          <w:tcPr>
            <w:tcW w:type="dxa" w:w="2041"/>
          </w:tcPr>
          <w:p>
            <w:pPr>
              <w:spacing w:after="40"/>
            </w:pPr>
            <w:r>
              <w:rPr>
                <w:sz w:val="19"/>
              </w:rPr>
              <w:t>0–2 semaines</w:t>
            </w:r>
          </w:p>
        </w:tc>
      </w:tr>
      <w:tr>
        <w:tc>
          <w:tcPr>
            <w:tcW w:type="dxa" w:w="737"/>
          </w:tcPr>
          <w:p>
            <w:pPr>
              <w:spacing w:after="40"/>
            </w:pPr>
            <w:r>
              <w:rPr>
                <w:sz w:val="19"/>
              </w:rPr>
              <w:t>2</w:t>
            </w:r>
          </w:p>
        </w:tc>
        <w:tc>
          <w:tcPr>
            <w:tcW w:type="dxa" w:w="6520"/>
          </w:tcPr>
          <w:p>
            <w:pPr>
              <w:spacing w:after="40"/>
            </w:pPr>
            <w:r>
              <w:rPr>
                <w:sz w:val="19"/>
              </w:rPr>
              <w:t>Clarifier directement avec FedaPay le statut contractuel actuel de PME360 (marchand standard vs agent non déclaré) — peut résoudre une partie de l'incertitude à faible coût.</w:t>
            </w:r>
          </w:p>
        </w:tc>
        <w:tc>
          <w:tcPr>
            <w:tcW w:type="dxa" w:w="2041"/>
          </w:tcPr>
          <w:p>
            <w:pPr>
              <w:spacing w:after="40"/>
            </w:pPr>
            <w:r>
              <w:rPr>
                <w:sz w:val="19"/>
              </w:rPr>
              <w:t>2–4 semaines</w:t>
            </w:r>
          </w:p>
        </w:tc>
      </w:tr>
      <w:tr>
        <w:tc>
          <w:tcPr>
            <w:tcW w:type="dxa" w:w="737"/>
          </w:tcPr>
          <w:p>
            <w:pPr>
              <w:spacing w:after="40"/>
            </w:pPr>
            <w:r>
              <w:rPr>
                <w:sz w:val="19"/>
              </w:rPr>
              <w:t>3</w:t>
            </w:r>
          </w:p>
        </w:tc>
        <w:tc>
          <w:tcPr>
            <w:tcW w:type="dxa" w:w="6520"/>
          </w:tcPr>
          <w:p>
            <w:pPr>
              <w:spacing w:after="40"/>
            </w:pPr>
            <w:r>
              <w:rPr>
                <w:sz w:val="19"/>
              </w:rPr>
              <w:t>Si la clarification confirme un besoin d'immatriculation : engager le Scénario A (dossier agent, assurance/garantie, mise à jour de l'interface d'information des utilisateurs).</w:t>
            </w:r>
          </w:p>
        </w:tc>
        <w:tc>
          <w:tcPr>
            <w:tcW w:type="dxa" w:w="2041"/>
          </w:tcPr>
          <w:p>
            <w:pPr>
              <w:spacing w:after="40"/>
            </w:pPr>
            <w:r>
              <w:rPr>
                <w:sz w:val="19"/>
              </w:rPr>
              <w:t>2–4 mois</w:t>
            </w:r>
          </w:p>
        </w:tc>
      </w:tr>
      <w:tr>
        <w:tc>
          <w:tcPr>
            <w:tcW w:type="dxa" w:w="737"/>
          </w:tcPr>
          <w:p>
            <w:pPr>
              <w:spacing w:after="40"/>
            </w:pPr>
            <w:r>
              <w:rPr>
                <w:sz w:val="19"/>
              </w:rPr>
              <w:t>4</w:t>
            </w:r>
          </w:p>
        </w:tc>
        <w:tc>
          <w:tcPr>
            <w:tcW w:type="dxa" w:w="6520"/>
          </w:tcPr>
          <w:p>
            <w:pPr>
              <w:spacing w:after="40"/>
            </w:pPr>
            <w:r>
              <w:rPr>
                <w:sz w:val="19"/>
              </w:rPr>
              <w:t>Si FedaPay ne coopère pas ou si le délai dépasse le raisonnable : basculer en Scénario B (gel de l'initiation) en mesure conservatoire, le temps qu'un arbitrage de long terme soit tranché.</w:t>
            </w:r>
          </w:p>
        </w:tc>
        <w:tc>
          <w:tcPr>
            <w:tcW w:type="dxa" w:w="2041"/>
          </w:tcPr>
          <w:p>
            <w:pPr>
              <w:spacing w:after="40"/>
            </w:pPr>
            <w:r>
              <w:rPr>
                <w:sz w:val="19"/>
              </w:rPr>
              <w:t>Selon étape 3</w:t>
            </w:r>
          </w:p>
        </w:tc>
      </w:tr>
      <w:tr>
        <w:tc>
          <w:tcPr>
            <w:tcW w:type="dxa" w:w="737"/>
          </w:tcPr>
          <w:p>
            <w:pPr>
              <w:spacing w:after="40"/>
            </w:pPr>
            <w:r>
              <w:rPr>
                <w:sz w:val="19"/>
              </w:rPr>
              <w:t>5</w:t>
            </w:r>
          </w:p>
        </w:tc>
        <w:tc>
          <w:tcPr>
            <w:tcW w:type="dxa" w:w="6520"/>
          </w:tcPr>
          <w:p>
            <w:pPr>
              <w:spacing w:after="40"/>
            </w:pPr>
            <w:r>
              <w:rPr>
                <w:sz w:val="19"/>
              </w:rPr>
              <w:t>Ne pas engager le Scénario C à ce stade : à ne reconsidérer que si SITIAME Capital vise explicitement un statut d'agrégateur indépendant (cf. étape 4 du cadrage produit initial).</w:t>
            </w:r>
          </w:p>
        </w:tc>
        <w:tc>
          <w:tcPr>
            <w:tcW w:type="dxa" w:w="2041"/>
          </w:tcPr>
          <w:p>
            <w:pPr>
              <w:spacing w:after="40"/>
            </w:pPr>
            <w:r>
              <w:rPr>
                <w:sz w:val="19"/>
              </w:rPr>
              <w:t>—</w:t>
            </w:r>
          </w:p>
        </w:tc>
      </w:tr>
    </w:tbl>
    <w:p/>
    <w:p>
      <w:r>
        <w:t>Cette recommandation privilégie le scénario proportionné au rôle réel de PME360 (intégrateur d'un service déjà porté par un établissement agréé) plutôt qu'une démarche d'agrément propre disproportionnée par rapport à la place secondaire de ce module dans la stratégie produit — une stratégie qui, dans le cadrage initial, positionne délibérément PME360 comme un outil de pilotage plutôt qu'un acteur de paiement.</w:t>
      </w:r>
    </w:p>
    <w:p/>
    <w:p>
      <w:r>
        <w:rPr>
          <w:i/>
          <w:color w:val="475467"/>
          <w:sz w:val="18"/>
        </w:rPr>
        <w:t>Note préparée pour SITIAME Capital — usage interne. Cette analyse ne constitue pas une consultation juridique. Toute décision engageant la responsabilité réglementaire de la plateforme doit être validée par un avocat spécialisé en droit bancaire et des paiements dans l'UMOA avant mise en œuvre.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