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475467"/>
          <w:sz w:val="24"/>
        </w:rPr>
        <w:t>SITIAME CAPITAL</w:t>
      </w:r>
    </w:p>
    <w:p>
      <w:r>
        <w:rPr>
          <w:color w:val="475467"/>
          <w:sz w:val="20"/>
        </w:rPr>
        <w:t>Note de suivi produit — Confidentiel</w:t>
      </w:r>
    </w:p>
    <w:p/>
    <w:p>
      <w:pPr>
        <w:pStyle w:val="Title"/>
      </w:pPr>
      <w:r>
        <w:rPr>
          <w:color w:val="0F2747"/>
        </w:rPr>
        <w:t>PME360 — Suivi d'avancement vs cadrage produit</w:t>
      </w:r>
    </w:p>
    <w:tbl>
      <w:tblPr>
        <w:tblStyle w:val="TableGrid"/>
        <w:tblW w:type="auto" w:w="0"/>
        <w:tblLook w:firstColumn="1" w:firstRow="1" w:lastColumn="0" w:lastRow="0" w:noHBand="0" w:noVBand="1" w:val="04A0"/>
      </w:tblPr>
      <w:tblGrid>
        <w:gridCol w:w="4873"/>
        <w:gridCol w:w="4873"/>
      </w:tblGrid>
      <w:tr>
        <w:tc>
          <w:tcPr>
            <w:tcW w:type="dxa" w:w="1984"/>
          </w:tcPr>
          <w:p>
            <w:r>
              <w:rPr>
                <w:b/>
                <w:sz w:val="20"/>
              </w:rPr>
              <w:t>Objet</w:t>
            </w:r>
          </w:p>
        </w:tc>
        <w:tc>
          <w:tcPr>
            <w:tcW w:type="dxa" w:w="4873"/>
          </w:tcPr>
          <w:p>
            <w:r>
              <w:rPr>
                <w:sz w:val="20"/>
              </w:rPr>
              <w:t>Avancement de l'implémentation PME360 (paiement mobile, facturation, stock) au regard de la note de cadrage du 12/07/2026</w:t>
            </w:r>
          </w:p>
        </w:tc>
      </w:tr>
      <w:tr>
        <w:tc>
          <w:tcPr>
            <w:tcW w:type="dxa" w:w="1984"/>
          </w:tcPr>
          <w:p>
            <w:r>
              <w:rPr>
                <w:b/>
                <w:sz w:val="20"/>
              </w:rPr>
              <w:t>Référence</w:t>
            </w:r>
          </w:p>
        </w:tc>
        <w:tc>
          <w:tcPr>
            <w:tcW w:type="dxa" w:w="4873"/>
          </w:tcPr>
          <w:p>
            <w:r>
              <w:rPr>
                <w:sz w:val="20"/>
              </w:rPr>
              <w:t>Cadrage_PME360.docx — note de cadrage produit, 12 juillet 2026</w:t>
            </w:r>
          </w:p>
        </w:tc>
      </w:tr>
      <w:tr>
        <w:tc>
          <w:tcPr>
            <w:tcW w:type="dxa" w:w="1984"/>
          </w:tcPr>
          <w:p>
            <w:r>
              <w:rPr>
                <w:b/>
                <w:sz w:val="20"/>
              </w:rPr>
              <w:t>Destinataires</w:t>
            </w:r>
          </w:p>
        </w:tc>
        <w:tc>
          <w:tcPr>
            <w:tcW w:type="dxa" w:w="4873"/>
          </w:tcPr>
          <w:p>
            <w:r>
              <w:rPr>
                <w:sz w:val="20"/>
              </w:rPr>
              <w:t>Direction produit — SITIAME Capital</w:t>
            </w:r>
          </w:p>
        </w:tc>
      </w:tr>
      <w:tr>
        <w:tc>
          <w:tcPr>
            <w:tcW w:type="dxa" w:w="1984"/>
          </w:tcPr>
          <w:p>
            <w:r>
              <w:rPr>
                <w:b/>
                <w:sz w:val="20"/>
              </w:rPr>
              <w:t>Date</w:t>
            </w:r>
          </w:p>
        </w:tc>
        <w:tc>
          <w:tcPr>
            <w:tcW w:type="dxa" w:w="4873"/>
          </w:tcPr>
          <w:p>
            <w:r>
              <w:rPr>
                <w:sz w:val="20"/>
              </w:rPr>
              <w:t>13 juillet 2026</w:t>
            </w:r>
          </w:p>
        </w:tc>
      </w:tr>
      <w:tr>
        <w:tc>
          <w:tcPr>
            <w:tcW w:type="dxa" w:w="1984"/>
          </w:tcPr>
          <w:p>
            <w:r>
              <w:rPr>
                <w:b/>
                <w:sz w:val="20"/>
              </w:rPr>
              <w:t>Statut</w:t>
            </w:r>
          </w:p>
        </w:tc>
        <w:tc>
          <w:tcPr>
            <w:tcW w:type="dxa" w:w="4873"/>
          </w:tcPr>
          <w:p>
            <w:r>
              <w:rPr>
                <w:sz w:val="20"/>
              </w:rPr>
              <w:t>Document de travail — pour arbitrage</w:t>
            </w:r>
          </w:p>
        </w:tc>
      </w:tr>
    </w:tbl>
    <w:p/>
    <w:p>
      <w:pPr>
        <w:pStyle w:val="Heading1"/>
      </w:pPr>
      <w:r>
        <w:t>1. Résumé exécutif</w:t>
      </w:r>
    </w:p>
    <w:p>
      <w:r>
        <w:t>Les trois premières étapes du séquençage recommandé par la note de cadrage sont livrées et vérifiées en conditions réelles (base de données réelle, PHP aligné sur la production, scénarios de bout en bout exécutés sans erreur) : connecteur Mobile Money en lecture seule avec réconciliation automatique, module Facturation relié à la trésorerie, et module Stock optionnel. Un point réglementaire non détaillé dans le cadrage (consentement sur les données Mobile Money) a été traité en complément. L'étude de faisabilité de l'étape 4 reste à mener. Un écart significatif entre la stratégie affichée et l'état réel du produit persiste et nécessite un arbitrage de Direction : le module d'initiation de paiement FedaPay, classé « WON'T pour l'instant » dans le cadrage, est actif en production depuis avant cette mission.</w:t>
      </w:r>
    </w:p>
    <w:p>
      <w:pPr>
        <w:pStyle w:val="Heading1"/>
      </w:pPr>
      <w:r>
        <w:t>2. Avancement par étape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737"/>
            <w:shd w:val="clear" w:color="auto" w:fill="0F2747"/>
          </w:tcPr>
          <w:p>
            <w:r>
              <w:rPr>
                <w:b/>
                <w:color w:val="FFFFFF"/>
                <w:sz w:val="20"/>
              </w:rPr>
              <w:t>Étape</w:t>
            </w:r>
          </w:p>
        </w:tc>
        <w:tc>
          <w:tcPr>
            <w:tcW w:type="dxa" w:w="3118"/>
            <w:shd w:val="clear" w:color="auto" w:fill="0F2747"/>
          </w:tcPr>
          <w:p>
            <w:r>
              <w:rPr>
                <w:b/>
                <w:color w:val="FFFFFF"/>
                <w:sz w:val="20"/>
              </w:rPr>
              <w:t>Livrable</w:t>
            </w:r>
          </w:p>
        </w:tc>
        <w:tc>
          <w:tcPr>
            <w:tcW w:type="dxa" w:w="1417"/>
            <w:shd w:val="clear" w:color="auto" w:fill="0F2747"/>
          </w:tcPr>
          <w:p>
            <w:r>
              <w:rPr>
                <w:b/>
                <w:color w:val="FFFFFF"/>
                <w:sz w:val="20"/>
              </w:rPr>
              <w:t>Priorité</w:t>
            </w:r>
          </w:p>
        </w:tc>
        <w:tc>
          <w:tcPr>
            <w:tcW w:type="dxa" w:w="1587"/>
            <w:shd w:val="clear" w:color="auto" w:fill="0F2747"/>
          </w:tcPr>
          <w:p>
            <w:r>
              <w:rPr>
                <w:b/>
                <w:color w:val="FFFFFF"/>
                <w:sz w:val="20"/>
              </w:rPr>
              <w:t>Statut</w:t>
            </w:r>
          </w:p>
        </w:tc>
        <w:tc>
          <w:tcPr>
            <w:tcW w:type="dxa" w:w="3118"/>
            <w:shd w:val="clear" w:color="auto" w:fill="0F2747"/>
          </w:tcPr>
          <w:p>
            <w:r>
              <w:rPr>
                <w:b/>
                <w:color w:val="FFFFFF"/>
                <w:sz w:val="20"/>
              </w:rPr>
              <w:t>Points de vigilance</w:t>
            </w:r>
          </w:p>
        </w:tc>
      </w:tr>
      <w:tr>
        <w:tc>
          <w:tcPr>
            <w:tcW w:type="dxa" w:w="737"/>
          </w:tcPr>
          <w:p>
            <w:pPr>
              <w:spacing w:after="40"/>
            </w:pPr>
            <w:r>
              <w:rPr>
                <w:sz w:val="19"/>
              </w:rPr>
              <w:t>1</w:t>
            </w:r>
          </w:p>
        </w:tc>
        <w:tc>
          <w:tcPr>
            <w:tcW w:type="dxa" w:w="3118"/>
          </w:tcPr>
          <w:p>
            <w:pPr>
              <w:spacing w:after="40"/>
            </w:pPr>
            <w:r>
              <w:rPr>
                <w:sz w:val="19"/>
              </w:rPr>
              <w:t>Connecteur Mobile Money (lecture) + réconciliation automatique</w:t>
            </w:r>
          </w:p>
        </w:tc>
        <w:tc>
          <w:tcPr>
            <w:tcW w:type="dxa" w:w="1417"/>
          </w:tcPr>
          <w:p>
            <w:pPr>
              <w:spacing w:after="40"/>
            </w:pPr>
            <w:r>
              <w:rPr>
                <w:sz w:val="19"/>
              </w:rPr>
              <w:t>MUST</w:t>
            </w:r>
          </w:p>
        </w:tc>
        <w:tc>
          <w:tcPr>
            <w:tcW w:type="dxa" w:w="1587"/>
          </w:tcPr>
          <w:p>
            <w:pPr>
              <w:spacing w:after="40"/>
            </w:pPr>
            <w:r>
              <w:rPr>
                <w:sz w:val="19"/>
              </w:rPr>
              <w:t>Livré et vérifié</w:t>
            </w:r>
          </w:p>
        </w:tc>
        <w:tc>
          <w:tcPr>
            <w:tcW w:type="dxa" w:w="3118"/>
          </w:tcPr>
          <w:p>
            <w:pPr>
              <w:spacing w:after="40"/>
            </w:pPr>
            <w:r>
              <w:rPr>
                <w:sz w:val="19"/>
              </w:rPr>
              <w:t>Import CSV manuel (pas d'API live disponible sans agrément) ; testé uniquement sur fichier de test, pas sur un vrai relevé opérateur.</w:t>
            </w:r>
          </w:p>
        </w:tc>
      </w:tr>
      <w:tr>
        <w:tc>
          <w:tcPr>
            <w:tcW w:type="dxa" w:w="737"/>
          </w:tcPr>
          <w:p>
            <w:pPr>
              <w:spacing w:after="40"/>
            </w:pPr>
            <w:r>
              <w:rPr>
                <w:sz w:val="19"/>
              </w:rPr>
              <w:t>—</w:t>
            </w:r>
          </w:p>
        </w:tc>
        <w:tc>
          <w:tcPr>
            <w:tcW w:type="dxa" w:w="3118"/>
          </w:tcPr>
          <w:p>
            <w:pPr>
              <w:spacing w:after="40"/>
            </w:pPr>
            <w:r>
              <w:rPr>
                <w:sz w:val="19"/>
              </w:rPr>
              <w:t>Consentement RGPD-like + droit à l'effacement sur les données Mobile Money</w:t>
            </w:r>
          </w:p>
        </w:tc>
        <w:tc>
          <w:tcPr>
            <w:tcW w:type="dxa" w:w="1417"/>
          </w:tcPr>
          <w:p>
            <w:pPr>
              <w:spacing w:after="40"/>
            </w:pPr>
            <w:r>
              <w:rPr>
                <w:sz w:val="19"/>
              </w:rPr>
              <w:t>Réglementaire (implicite)</w:t>
            </w:r>
          </w:p>
        </w:tc>
        <w:tc>
          <w:tcPr>
            <w:tcW w:type="dxa" w:w="1587"/>
          </w:tcPr>
          <w:p>
            <w:pPr>
              <w:spacing w:after="40"/>
            </w:pPr>
            <w:r>
              <w:rPr>
                <w:sz w:val="19"/>
              </w:rPr>
              <w:t>Livré et vérifié</w:t>
            </w:r>
          </w:p>
        </w:tc>
        <w:tc>
          <w:tcPr>
            <w:tcW w:type="dxa" w:w="3118"/>
          </w:tcPr>
          <w:p>
            <w:pPr>
              <w:spacing w:after="40"/>
            </w:pPr>
            <w:r>
              <w:rPr>
                <w:sz w:val="19"/>
              </w:rPr>
              <w:t>Mécanisme construit sans spécification détaillée dans le cadrage ; à faire valider par un juriste protection des données.</w:t>
            </w:r>
          </w:p>
        </w:tc>
      </w:tr>
      <w:tr>
        <w:tc>
          <w:tcPr>
            <w:tcW w:type="dxa" w:w="737"/>
          </w:tcPr>
          <w:p>
            <w:pPr>
              <w:spacing w:after="40"/>
            </w:pPr>
            <w:r>
              <w:rPr>
                <w:sz w:val="19"/>
              </w:rPr>
              <w:t>2</w:t>
            </w:r>
          </w:p>
        </w:tc>
        <w:tc>
          <w:tcPr>
            <w:tcW w:type="dxa" w:w="3118"/>
          </w:tcPr>
          <w:p>
            <w:pPr>
              <w:spacing w:after="40"/>
            </w:pPr>
            <w:r>
              <w:rPr>
                <w:sz w:val="19"/>
              </w:rPr>
              <w:t>Module Facturation relié à la trésorerie (créances, écritures, encaissement)</w:t>
            </w:r>
          </w:p>
        </w:tc>
        <w:tc>
          <w:tcPr>
            <w:tcW w:type="dxa" w:w="1417"/>
          </w:tcPr>
          <w:p>
            <w:pPr>
              <w:spacing w:after="40"/>
            </w:pPr>
            <w:r>
              <w:rPr>
                <w:sz w:val="19"/>
              </w:rPr>
              <w:t>SHOULD</w:t>
            </w:r>
          </w:p>
        </w:tc>
        <w:tc>
          <w:tcPr>
            <w:tcW w:type="dxa" w:w="1587"/>
          </w:tcPr>
          <w:p>
            <w:pPr>
              <w:spacing w:after="40"/>
            </w:pPr>
            <w:r>
              <w:rPr>
                <w:sz w:val="19"/>
              </w:rPr>
              <w:t>Livré et vérifié</w:t>
            </w:r>
          </w:p>
        </w:tc>
        <w:tc>
          <w:tcPr>
            <w:tcW w:type="dxa" w:w="3118"/>
          </w:tcPr>
          <w:p>
            <w:pPr>
              <w:spacing w:after="40"/>
            </w:pPr>
            <w:r>
              <w:rPr>
                <w:sz w:val="19"/>
              </w:rPr>
              <w:t>Écritures comptables 411/701/4431 auto-générées, non revues par un expert-comptable OHADA.</w:t>
            </w:r>
          </w:p>
        </w:tc>
      </w:tr>
      <w:tr>
        <w:tc>
          <w:tcPr>
            <w:tcW w:type="dxa" w:w="737"/>
          </w:tcPr>
          <w:p>
            <w:pPr>
              <w:spacing w:after="40"/>
            </w:pPr>
            <w:r>
              <w:rPr>
                <w:sz w:val="19"/>
              </w:rPr>
              <w:t>3</w:t>
            </w:r>
          </w:p>
        </w:tc>
        <w:tc>
          <w:tcPr>
            <w:tcW w:type="dxa" w:w="3118"/>
          </w:tcPr>
          <w:p>
            <w:pPr>
              <w:spacing w:after="40"/>
            </w:pPr>
            <w:r>
              <w:rPr>
                <w:sz w:val="19"/>
              </w:rPr>
              <w:t>Gestion de stock (segment négoce), valorisation CUMP</w:t>
            </w:r>
          </w:p>
        </w:tc>
        <w:tc>
          <w:tcPr>
            <w:tcW w:type="dxa" w:w="1417"/>
          </w:tcPr>
          <w:p>
            <w:pPr>
              <w:spacing w:after="40"/>
            </w:pPr>
            <w:r>
              <w:rPr>
                <w:sz w:val="19"/>
              </w:rPr>
              <w:t>COULD</w:t>
            </w:r>
          </w:p>
        </w:tc>
        <w:tc>
          <w:tcPr>
            <w:tcW w:type="dxa" w:w="1587"/>
          </w:tcPr>
          <w:p>
            <w:pPr>
              <w:spacing w:after="40"/>
            </w:pPr>
            <w:r>
              <w:rPr>
                <w:sz w:val="19"/>
              </w:rPr>
              <w:t>Livré et vérifié</w:t>
            </w:r>
          </w:p>
        </w:tc>
        <w:tc>
          <w:tcPr>
            <w:tcW w:type="dxa" w:w="3118"/>
          </w:tcPr>
          <w:p>
            <w:pPr>
              <w:spacing w:after="40"/>
            </w:pPr>
            <w:r>
              <w:rPr>
                <w:sz w:val="19"/>
              </w:rPr>
              <w:t>Volontairement non intégré à la Facturation (double saisie si usage combiné) ; à confirmer que c'est le bon choix produit.</w:t>
            </w:r>
          </w:p>
        </w:tc>
      </w:tr>
      <w:tr>
        <w:tc>
          <w:tcPr>
            <w:tcW w:type="dxa" w:w="737"/>
          </w:tcPr>
          <w:p>
            <w:pPr>
              <w:spacing w:after="40"/>
            </w:pPr>
            <w:r>
              <w:rPr>
                <w:sz w:val="19"/>
              </w:rPr>
              <w:t>4</w:t>
            </w:r>
          </w:p>
        </w:tc>
        <w:tc>
          <w:tcPr>
            <w:tcW w:type="dxa" w:w="3118"/>
          </w:tcPr>
          <w:p>
            <w:pPr>
              <w:spacing w:after="40"/>
            </w:pPr>
            <w:r>
              <w:rPr>
                <w:sz w:val="19"/>
              </w:rPr>
              <w:t>Étude de faisabilité initiation de paiement / statut agrégateur</w:t>
            </w:r>
          </w:p>
        </w:tc>
        <w:tc>
          <w:tcPr>
            <w:tcW w:type="dxa" w:w="1417"/>
          </w:tcPr>
          <w:p>
            <w:pPr>
              <w:spacing w:after="40"/>
            </w:pPr>
            <w:r>
              <w:rPr>
                <w:sz w:val="19"/>
              </w:rPr>
              <w:t>À évaluer</w:t>
            </w:r>
          </w:p>
        </w:tc>
        <w:tc>
          <w:tcPr>
            <w:tcW w:type="dxa" w:w="1587"/>
          </w:tcPr>
          <w:p>
            <w:pPr>
              <w:spacing w:after="40"/>
            </w:pPr>
            <w:r>
              <w:rPr>
                <w:sz w:val="19"/>
              </w:rPr>
              <w:t>Non commencé</w:t>
            </w:r>
          </w:p>
        </w:tc>
        <w:tc>
          <w:tcPr>
            <w:tcW w:type="dxa" w:w="3118"/>
          </w:tcPr>
          <w:p>
            <w:pPr>
              <w:spacing w:after="40"/>
            </w:pPr>
            <w:r>
              <w:rPr>
                <w:sz w:val="19"/>
              </w:rPr>
              <w:t>D'autant plus nécessaire que le module d'initiation FedaPay est déjà actif en prod (voir section 3).</w:t>
            </w:r>
          </w:p>
        </w:tc>
      </w:tr>
    </w:tbl>
    <w:p/>
    <w:p>
      <w:r>
        <w:rPr>
          <w:i/>
        </w:rPr>
        <w:t>Légende statut : Livré et vérifié = code déployé en local, testé de bout en bout sur base réelle et en requêtes HTTP authentifiées. Non commencé = aucun travail engagé.</w:t>
      </w:r>
    </w:p>
    <w:p>
      <w:pPr>
        <w:pStyle w:val="Heading1"/>
      </w:pPr>
      <w:r>
        <w:t>3. Écarts vs cadrage initial</w:t>
      </w:r>
    </w:p>
    <w:p>
      <w:pPr>
        <w:pStyle w:val="Heading2"/>
      </w:pPr>
      <w:r>
        <w:t>3.1 Écart majeur : module d'initiation de paiement FedaPay actif en production</w:t>
      </w:r>
    </w:p>
    <w:p>
      <w:r>
        <w:t>La note de cadrage est explicite : l'initiation de paiement Mobile Money (mouvement de fonds) est classée « WON'T pour l'instant », car elle « exige agrément et gestion de fonds » et changerait le statut réglementaire de PME360, qui « tant qu'il reste en lecture seule, n'est pas un établissement de paiement ». Or le contrôleur FedaPaySandboxController et le flux payment_module=fedapay_mobile de la trésorerie permettent aujourd'hui d'initier un paiement Wave/Orange Money/MTN/Moov directement depuis PME360 — exactement le niveau d'intégration que le cadrage recommande de reporter.</w:t>
      </w:r>
    </w:p>
    <w:p>
      <w:r>
        <w:t>Ce module préexistait à cette mission. Faute de mandat pour prendre une décision business à impact utilisateur (désactiver une fonctionnalité de paiement en cours d'usage potentiel), le choix a été de documenter la dérogation directement dans le code (note de conformité en tête de fichier) sans modifier le comportement. Cet écart reste donc entier et appelle un arbitrage de Direction : régulariser (engager les démarches d'agrément), geler l'accès, ou accepter le risque en connaissance de cause.</w:t>
      </w:r>
    </w:p>
    <w:p>
      <w:pPr>
        <w:pStyle w:val="Heading2"/>
      </w:pPr>
      <w:r>
        <w:t>3.2 Écart mineur : « connecteur » Mobile Money vs import manuel</w:t>
      </w:r>
    </w:p>
    <w:p>
      <w:r>
        <w:t>Le cadrage présente un « connecteur » suggérant une récupération automatisée de l'historique. En l'absence d'accès API marchand chez Wave/Orange Money/MTN sans agrément, l'implémentation repose sur un import manuel de fichier CSV exporté par le PME depuis l'application de l'opérateur. Le résultat fonctionnel (réconciliation) est atteint, mais l'expérience réelle diffère de ce que le vocabulaire du cadrage laisse entendre, et la robustesse dépend d'un format d'export non garanti stable dans le temps.</w:t>
      </w:r>
    </w:p>
    <w:p>
      <w:pPr>
        <w:pStyle w:val="Heading1"/>
      </w:pPr>
      <w:r>
        <w:t>4. Points traités mais non détaillés dans le cadrage initial</w:t>
      </w:r>
    </w:p>
    <w:p>
      <w:r>
        <w:rPr>
          <w:b/>
        </w:rPr>
        <w:t xml:space="preserve">Consentement et droit à l'effacement — </w:t>
      </w:r>
      <w:r>
        <w:t>Le cadrage mentionne en une phrase la nécessité d'un consentement, sans mécanisme. L'implémentation va plus loin : case à cocher obligatoire et horodatée à l'import, IP tracée, et une fonctionnalité d'effacement des données personnelles (nom, numéro, ligne brute) qui préserve la piste comptable (montants, dates, liens vers les écritures).</w:t>
      </w:r>
    </w:p>
    <w:p>
      <w:r>
        <w:rPr>
          <w:b/>
        </w:rPr>
        <w:t xml:space="preserve">Choix de la méthode de valorisation du stock (CUMP) — </w:t>
      </w:r>
      <w:r>
        <w:t>Le cadrage ne descend pas à ce niveau de détail. Le coût unitaire moyen pondéré a été retenu comme méthode standard OHADA, mais n'a pas été validé avec un comptable — impact direct sur la valorisation du bilan si le module Stock est utilisé pour une clôture réelle.</w:t>
      </w:r>
    </w:p>
    <w:p>
      <w:r>
        <w:rPr>
          <w:b/>
        </w:rPr>
        <w:t xml:space="preserve">Non-automatisation des écritures comptables pour le rapprochement Mobile Money — </w:t>
      </w:r>
      <w:r>
        <w:t>Contrairement à la Facturation (traitement 411/701 standard, sans ambiguïté), aucune écriture n'est générée automatiquement lors d'un rapprochement Mobile Money : le compte de contrepartie exact (quel client, quelle facture) n'est pas déterminable automatiquement sans risque d'erreur d'imputation. Le lien entre la transaction et une future écriture existe (clé étrangère), mais la saisie reste manuelle.</w:t>
      </w:r>
    </w:p>
    <w:p>
      <w:r>
        <w:rPr>
          <w:b/>
        </w:rPr>
        <w:t xml:space="preserve">Numérotation séquentielle atomique des factures — </w:t>
      </w:r>
      <w:r>
        <w:t>Nécessaire pour la conformité e-invoicing évoquée dans le cadrage, mais dont les modalités n'y sont pas précisées. Implémentée avec un compteur dédié par PME et par année, verrouillé pour éviter les doublons en cas de créations concurrentes.</w:t>
      </w:r>
    </w:p>
    <w:p>
      <w:pPr>
        <w:pStyle w:val="Heading1"/>
      </w:pPr>
      <w:r>
        <w:t>5. Risques et zones d'ombre avant la prochaine étape</w:t>
      </w:r>
    </w:p>
    <w:p>
      <w:pPr>
        <w:pStyle w:val="ListBullet"/>
      </w:pPr>
      <w:r>
        <w:t>FedaPay non tranché : risque réglementaire actif, nécessite une décision de Direction (voir 3.1), pas seulement une note technique.</w:t>
      </w:r>
    </w:p>
    <w:p>
      <w:pPr>
        <w:pStyle w:val="ListBullet"/>
      </w:pPr>
      <w:r>
        <w:t>Connecteur CSV non testé sur de vrais exports Wave/Orange Money/MTN : à valider avant toute communication commerciale sur cette fonctionnalité, le format réel de chaque opérateur pouvant différer du fichier de test utilisé.</w:t>
      </w:r>
    </w:p>
    <w:p>
      <w:pPr>
        <w:pStyle w:val="ListBullet"/>
      </w:pPr>
      <w:r>
        <w:t>Écritures comptables auto-générées (Facturation) non revues par un expert-comptable OHADA : risque sur des cas particuliers (avoirs, exonérations, multi-devises).</w:t>
      </w:r>
    </w:p>
    <w:p>
      <w:pPr>
        <w:pStyle w:val="ListBullet"/>
      </w:pPr>
      <w:r>
        <w:t>Découplage Stock / Facturation : choix assumé pour respecter la consigne « optionnel, pas dans le cœur » du cadrage, mais implique une double saisie pour les PME qui utiliseraient les deux modules — à confirmer comme un choix produit définitif.</w:t>
      </w:r>
    </w:p>
    <w:p>
      <w:pPr>
        <w:pStyle w:val="ListBullet"/>
      </w:pPr>
      <w:r>
        <w:t>Vérification interface utilisateur limitée : les nouvelles pages ont été testées par requêtes HTTP authentifiées, pas par navigation réelle (outil de navigateur indisponible dans l'environnement de vérification) ; le calcul dynamique du formulaire de facture (JavaScript) a été relu mais pas exécuté visuellement.</w:t>
      </w:r>
    </w:p>
    <w:p>
      <w:pPr>
        <w:pStyle w:val="ListBullet"/>
      </w:pPr>
      <w:r>
        <w:t>Absence de tests automatisés (PHPUnit) pour les trois nouveaux modules : la vérification de cette session a été faite manuellement, sans filet de sécurité pour détecter une régression future.</w:t>
      </w:r>
    </w:p>
    <w:p>
      <w:pPr>
        <w:pStyle w:val="ListBullet"/>
      </w:pPr>
      <w:r>
        <w:t>Environnement de développement local non préparé pour ce projet (version PHP incompatible, port MySQL bloqué par une réservation Windows) : sans impact sur le code livré, mais signale un besoin d'industrialisation de l'environnement local pour fiabiliser les vérifications futures.</w:t>
      </w:r>
    </w:p>
    <w:p>
      <w:pPr>
        <w:pStyle w:val="Heading1"/>
      </w:pPr>
      <w:r>
        <w:t>6. Prochaines étapes proposées</w:t>
      </w:r>
    </w:p>
    <w:p>
      <w:pPr>
        <w:pStyle w:val="ListNumber"/>
      </w:pPr>
      <w:r>
        <w:t>Arbitrage de Direction sur le module FedaPay : régulariser, geler, ou accepter le risque — décision business, pas technique.</w:t>
      </w:r>
    </w:p>
    <w:p>
      <w:pPr>
        <w:pStyle w:val="ListNumber"/>
      </w:pPr>
      <w:r>
        <w:t>Faire valider par un expert-comptable OHADA les écritures automatiques (Facturation) et la méthode de valorisation du stock (CUMP) avant tout usage en clôture réelle.</w:t>
      </w:r>
    </w:p>
    <w:p>
      <w:pPr>
        <w:pStyle w:val="ListNumber"/>
      </w:pPr>
      <w:r>
        <w:t>Tester le connecteur d'import Mobile Money avec de vrais fichiers exportés par les trois opérateurs avant mise en avant commerciale.</w:t>
      </w:r>
    </w:p>
    <w:p>
      <w:pPr>
        <w:pStyle w:val="ListNumber"/>
      </w:pPr>
      <w:r>
        <w:t>Vérification en navigateur réel des nouvelles interfaces, en particulier le formulaire de facture.</w:t>
      </w:r>
    </w:p>
    <w:p>
      <w:pPr>
        <w:pStyle w:val="ListNumber"/>
      </w:pPr>
      <w:r>
        <w:t>Ajouter une couverture de tests automatisés (PHPUnit) pour les modules Mobile Money, Facturation et Stock.</w:t>
      </w:r>
    </w:p>
    <w:p>
      <w:pPr>
        <w:pStyle w:val="ListNumber"/>
      </w:pPr>
      <w:r>
        <w:t>Engager la rédaction de l'étude de faisabilité de l'étape 4 (initiation de paiement / statut d'agrégateur), avec un juriste spécialisé paiement en zone UEMOA — dépendante de l'arbitrage FedaPay.</w:t>
      </w:r>
    </w:p>
    <w:p>
      <w:pPr>
        <w:pStyle w:val="ListNumber"/>
      </w:pPr>
      <w:r>
        <w:t>Statuer sur une éventuelle intégration Stock ↔ Facturation si la demande du segment négoce le justifie.</w:t>
      </w:r>
    </w:p>
    <w:p/>
    <w:p>
      <w:r>
        <w:rPr>
          <w:i/>
          <w:color w:val="475467"/>
          <w:sz w:val="18"/>
        </w:rPr>
        <w:t>Note préparée pour SITIAME Capital — usage interne. Les décisions engageant la responsabilité réglementaire de la plateforme (notamment le sort du module FedaPay) doivent être validées par la Direction avant toute action.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