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C2340"/>
          <w:sz w:val="40"/>
          <w:szCs w:val="40"/>
        </w:rPr>
        <w:t xml:space="preserve">CAHIER DES CHARGES TECHNIQUE</w:t>
      </w:r>
    </w:p>
    <w:p>
      <w:pPr>
        <w:spacing w:after="40"/>
        <w:jc w:val="center"/>
      </w:pPr>
      <w:r>
        <w:rPr>
          <w:color w:val="B08D57"/>
          <w:sz w:val="26"/>
          <w:szCs w:val="26"/>
        </w:rPr>
        <w:t xml:space="preserve">Volet Marketing et Communication — SITIAME CAPITAL</w:t>
      </w:r>
    </w:p>
    <w:p>
      <w:pPr>
        <w:spacing w:after="400"/>
        <w:jc w:val="center"/>
      </w:pPr>
      <w:r>
        <w:rPr>
          <w:i/>
          <w:iCs/>
          <w:color w:val="5B6472"/>
          <w:sz w:val="20"/>
          <w:szCs w:val="20"/>
        </w:rPr>
        <w:t xml:space="preserve">Document à l'attention du développeur / de l'équipe technique</w:t>
      </w:r>
    </w:p>
    <w:p>
      <w:pPr>
        <w:spacing w:after="120"/>
      </w:pPr>
      <w:r>
        <w:rPr>
          <w:i/>
          <w:iCs/>
          <w:color w:val="5B6472"/>
        </w:rPr>
        <w:t xml:space="preserve">Hypothèse de cadrage : ce document couvre le volet marketing et communication du site web de Sitiame Capital (cabinet de conseil en stratégie financière, diagnostic, restructuration, fusions-acquisitions et levée de fonds) — visibilité de l'offre, production de contenus, génération et suivi de prospects, newsletter, et back-office pour l'équipe marketing. À ajuster si le périmètre visé est différent.</w:t>
      </w:r>
    </w:p>
    <w:p>
      <w:pPr>
        <w:pStyle w:val="Heading1"/>
        <w:spacing w:after="150" w:before="300"/>
      </w:pPr>
      <w:r>
        <w:t xml:space="preserve">1. Objectif de ce volet</w:t>
      </w:r>
    </w:p>
    <w:p>
      <w:pPr>
        <w:spacing w:after="120"/>
      </w:pPr>
      <w:r>
        <w:t xml:space="preserve">Donner à l'équipe marketing et communication de Sitiame Capital les moyens de présenter le cabinet, de publier des contenus à forte valeur ajoutée (analyses, actualités, études de cas), de capter des prospects qualifiés et de les suivre jusqu'à la prise de contact commerciale — sans dépendre du développeur pour les opérations courantes.</w:t>
      </w:r>
    </w:p>
    <w:p>
      <w:pPr>
        <w:pStyle w:val="Heading1"/>
        <w:spacing w:after="150" w:before="300"/>
      </w:pPr>
      <w:r>
        <w:t xml:space="preserve">2. Pages publiques à développer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Accueil : positionnement du cabinet, mise en avant des expertises clés, appel à l'action vers une prise de contact.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Notre expertise : présentation des offres (diagnostic financier, stratégie et modèles économiques, restructuration, fusions-acquisitions, levée de fonds, évaluation de projets).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Études de cas / références : présentation de missions réalisées (anonymisées si nécessaire), secteur, problématique, résultat.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Actualités / Insights : articles et analyses publiés par le cabinet (veille économique, tendances d'investissement).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À propos : présentation du cabinet, de l'équipe dirigeante, des valeurs.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: formulaire de prise de contact et coordonnées.</w:t>
      </w:r>
    </w:p>
    <w:p>
      <w:pPr>
        <w:pStyle w:val="Heading1"/>
        <w:spacing w:after="150" w:before="300"/>
      </w:pPr>
      <w:r>
        <w:t xml:space="preserve">3. Génération et suivi de prospects (lead generation)</w:t>
      </w:r>
    </w:p>
    <w:p>
      <w:pPr>
        <w:spacing w:after="100"/>
      </w:pPr>
      <w:r>
        <w:rPr>
          <w:b/>
          <w:bCs/>
        </w:rPr>
        <w:t xml:space="preserve">Formulaires de contact : </w:t>
      </w:r>
      <w:r>
        <w:t xml:space="preserve">sur la page contact et en fin de chaque page de service, avec champs qualifiants (nom, entreprise, fonction, email professionnel, nature du besoin).</w:t>
      </w:r>
    </w:p>
    <w:p>
      <w:pPr>
        <w:spacing w:after="100"/>
      </w:pPr>
      <w:r>
        <w:rPr>
          <w:b/>
          <w:bCs/>
        </w:rPr>
        <w:t xml:space="preserve">Formulaire d'inscription à la newsletter : </w:t>
      </w:r>
      <w:r>
        <w:t xml:space="preserve">capture de l'email avec consentement explicite (RGPD/protection des données).</w:t>
      </w:r>
    </w:p>
    <w:p>
      <w:pPr>
        <w:spacing w:after="100"/>
      </w:pPr>
      <w:r>
        <w:rPr>
          <w:b/>
          <w:bCs/>
        </w:rPr>
        <w:t xml:space="preserve">Suivi des prospects : </w:t>
      </w:r>
      <w:r>
        <w:t xml:space="preserve">chaque soumission de formulaire crée une fiche prospect dans le back-office, avec statut (nouveau, contacté, qualifié, client) modifiable par l'équipe marketing/commerciale.</w:t>
      </w:r>
    </w:p>
    <w:p>
      <w:pPr>
        <w:spacing w:after="100"/>
      </w:pPr>
      <w:r>
        <w:rPr>
          <w:b/>
          <w:bCs/>
        </w:rPr>
        <w:t xml:space="preserve">Notifications : </w:t>
      </w:r>
      <w:r>
        <w:t xml:space="preserve">email automatique à l'équipe commerciale dès qu'un formulaire est soumis.</w:t>
      </w:r>
    </w:p>
    <w:p>
      <w:pPr>
        <w:pStyle w:val="Heading1"/>
        <w:spacing w:after="150" w:before="300"/>
      </w:pPr>
      <w:r>
        <w:t xml:space="preserve">4. Newsletter et campagnes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 la liste des abonnés (ajout, désabonnement en un clic, export).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Création et envoi de newsletters depuis un éditeur simple (texte + images), avec modèle aux couleurs du cabinet.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Statistiques d'ouverture et de clic par campagne, si l'outil d'envoi choisi le permet.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possible avec un outil d'emailing existant (ex. Mailchimp, Sendinblue/Brevo) plutôt qu'un développement interne complet, selon le budget.</w:t>
      </w:r>
    </w:p>
    <w:p>
      <w:pPr>
        <w:pStyle w:val="Heading1"/>
        <w:spacing w:after="150" w:before="300"/>
      </w:pPr>
      <w:r>
        <w:t xml:space="preserve">5. Gestion des contenus (CMS)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d'administration permettant à l'équipe marketing de créer, modifier et publier : articles d'actualité, études de cas, pages de présentation d'offre.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Champs par article : titre, chapô/résumé, corps de texte, image de couverture, catégorie, date de publication, auteur.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Statuts de publication : brouillon, publié, archivé.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Prévisualisation avant publication.</w:t>
      </w:r>
    </w:p>
    <w:p>
      <w:pPr>
        <w:pStyle w:val="Heading1"/>
        <w:spacing w:after="150" w:before="300"/>
      </w:pPr>
      <w:r>
        <w:t xml:space="preserve">6. Réseaux sociaux et communication externe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de liens vers les réseaux sociaux du cabinet (LinkedIn en priorité pour ce type d'activité).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Boutons de partage sur les articles et études de 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Possibilité de relayer automatiquement un nouvel article publié vers LinkedIn (phase 2, via API ou outil tiers de type Buffer/Hootsuite).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Modèle de données (aperçu)</w:t>
      </w:r>
    </w:p>
    <w:p>
      <w:pPr>
        <w:spacing w:after="60" w:before="120"/>
      </w:pPr>
      <w:r>
        <w:rPr>
          <w:b/>
          <w:bCs/>
        </w:rPr>
        <w:t xml:space="preserve">Table "prospects"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shd w:fill="0C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600"/>
            <w:shd w:fill="0C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00"/>
            <w:shd w:fill="0C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nom, prenom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Identité du contact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entreprise, fonction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Contexte professionnel du contact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email, telephone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Coordonnées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besoin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Nature de la demande (diagnostic, levée de fonds, M&amp;A...)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Formulaire d'origine (contact, newsletter, page service)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nouveau, contacté, qualifié, client, sans suite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date_creation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 de soumission du formulaire</w:t>
            </w:r>
          </w:p>
        </w:tc>
      </w:tr>
    </w:tbl>
    <w:p>
      <w:pPr>
        <w:spacing w:after="60" w:before="240"/>
      </w:pPr>
      <w:r>
        <w:rPr>
          <w:b/>
          <w:bCs/>
        </w:rPr>
        <w:t xml:space="preserve">Autres tables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0C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000"/>
            <w:shd w:fill="0C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Contenu principal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articles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titre, chapô, contenu, image, catégorie, statut, date de publication, auteur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etudes_de_cas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titre, secteur, problématique, résultat, image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abonnes_newsletter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email, date d'inscription, statut (actif/désabonné), consentement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campagnes_email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objet, contenu, date d'envoi, statistiques d'ouverture/clic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utilisateurs_admin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nom, email, rôle (marketing, commercial, administrateur)</w:t>
            </w:r>
          </w:p>
        </w:tc>
      </w:tr>
    </w:tbl>
    <w:p>
      <w:pPr>
        <w:pStyle w:val="Heading1"/>
        <w:spacing w:after="150" w:before="300"/>
      </w:pPr>
      <w:r>
        <w:t xml:space="preserve">8. Rôles et accès dans le back-office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/ communication : gestion des contenus, de la newsletter, des campagnes.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: consultation et mise à jour du statut des prospects.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Administrateur : gestion des comptes utilisateurs et des accès.</w:t>
      </w:r>
    </w:p>
    <w:p>
      <w:pPr>
        <w:pStyle w:val="Heading1"/>
        <w:spacing w:after="150" w:before="300"/>
      </w:pPr>
      <w:r>
        <w:t xml:space="preserve">9. Charte graphique et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Ton sobre et institutionnel, cohérent avec le positionnement d'un cabinet de conseil en stratégie et finance.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Palette et logo à fournir par Sitiame Capital ou à valider avec la direction avant développement.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Mise en avant de la crédibilité : expertises, références clients, chiffres clés si disponibles.</w:t>
      </w:r>
    </w:p>
    <w:p>
      <w:pPr>
        <w:pStyle w:val="Heading1"/>
        <w:spacing w:after="150" w:before="300"/>
      </w:pPr>
      <w:r>
        <w:t xml:space="preserve">10. Exigences non-fonctionnelles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responsive (mobile, tablette, ordinateur).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HTTPS, protection des données des prospects et abonnés conforme à la réglementation en vigueur.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Référencement naturel (SEO) soigné sur les pages d'expertise et les articles.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d'un outil d'analyse d'audience (ex. Google Analytics ou équivalent).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Temps de chargement optimisé, images compressées.</w:t>
      </w:r>
    </w:p>
    <w:p>
      <w:pPr>
        <w:pStyle w:val="Heading1"/>
        <w:spacing w:after="150" w:before="300"/>
      </w:pPr>
      <w:r>
        <w:t xml:space="preserve">11. Livrables attendus du développeur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public (pages listées en section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Formulaires de contact et de newsletter connectés au back-office.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Back-office de gestion des contenus, prospects, abonnés et campagnes.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avec un outil d'emailing tiers si retenu par Sitiame Capital.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de mise en production et guide d'utilisation pour l'équipe marketing.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2026-07-28T11:53:12.078Z</dcterms:created>
  <dcterms:modified xsi:type="dcterms:W3CDTF">2026-07-28T11:53:12.099Z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