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mbria" w:cs="Cambria" w:eastAsia="Cambria" w:hAnsi="Cambria"/>
          <w:b/>
          <w:bCs/>
          <w:color w:val="0B1F3A"/>
          <w:sz w:val="26"/>
          <w:szCs w:val="26"/>
        </w:rPr>
        <w:t xml:space="preserve">SITIAME CAPITAL</w:t>
      </w:r>
    </w:p>
    <w:p>
      <w:pPr>
        <w:pBdr>
          <w:bottom w:val="single" w:color="C8A24B" w:sz="14" w:space="4"/>
        </w:pBdr>
        <w:spacing w:after="200"/>
      </w:pPr>
      <w:r>
        <w:rPr>
          <w:rFonts w:ascii="Calibri" w:cs="Calibri" w:eastAsia="Calibri" w:hAnsi="Calibri"/>
          <w:i/>
          <w:iCs/>
          <w:color w:val="5A5A5A"/>
          <w:sz w:val="19"/>
          <w:szCs w:val="19"/>
        </w:rPr>
        <w:t xml:space="preserve">Projet PME360 — Comptabilité · Score · Financement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B1F3A" w:color="auto" w:val="clear"/>
            <w:tcMar>
              <w:top w:type="dxa" w:w="150"/>
              <w:left w:type="dxa" w:w="200"/>
              <w:bottom w:type="dxa" w:w="150"/>
              <w:right w:type="dxa" w:w="200"/>
            </w:tcMar>
          </w:tcPr>
          <w:p>
            <w:pPr>
              <w:spacing w:after="30"/>
              <w:jc w:val="center"/>
            </w:pPr>
            <w:r>
              <w:rPr>
                <w:rFonts w:ascii="Cambria" w:cs="Cambria" w:eastAsia="Cambria" w:hAnsi="Cambria"/>
                <w:b/>
                <w:bCs/>
                <w:color w:val="FFFFFF"/>
                <w:sz w:val="30"/>
                <w:szCs w:val="30"/>
              </w:rPr>
              <w:t xml:space="preserve">COMPTE RENDU DE RÉUNION</w:t>
            </w:r>
          </w:p>
          <w:p>
            <w:pPr>
              <w:spacing w:after="0"/>
              <w:jc w:val="center"/>
            </w:pPr>
            <w:r>
              <w:rPr>
                <w:rFonts w:ascii="Calibri" w:cs="Calibri" w:eastAsia="Calibri" w:hAnsi="Calibri"/>
                <w:b/>
                <w:bCs/>
                <w:color w:val="C8A24B"/>
                <w:sz w:val="21"/>
                <w:szCs w:val="21"/>
              </w:rPr>
              <w:t xml:space="preserve">Revue de la plateforme PME360 et préparation du lancement</w:t>
            </w:r>
          </w:p>
        </w:tc>
      </w:tr>
    </w:tbl>
    <w:p>
      <w:pPr>
        <w:spacing w:after="160"/>
      </w:pPr>
    </w:p>
    <w:tbl>
      <w:tblPr>
        <w:tblW w:type="dxa" w:w="9360"/>
        <w:tblBorders>
          <w:top w:val="single" w:color="AAB0B8" w:sz="4"/>
          <w:left w:val="single" w:color="AAB0B8" w:sz="4"/>
          <w:bottom w:val="single" w:color="AAB0B8" w:sz="4"/>
          <w:right w:val="single" w:color="AAB0B8" w:sz="4"/>
          <w:insideH w:val="single" w:color="C9CDD3" w:sz="4"/>
          <w:insideV w:val="single" w:color="C9CDD3" w:sz="4"/>
        </w:tblBorders>
      </w:tblPr>
      <w:tblGrid>
        <w:gridCol w:w="2400"/>
        <w:gridCol w:w="6960"/>
      </w:tblGrid>
      <w:tr>
        <w:tc>
          <w:tcPr>
            <w:tcW w:type="dxa" w:w="2400"/>
            <w:shd w:fill="F2F3F5" w:color="auto" w:val="clear"/>
            <w:tcMar>
              <w:top w:type="dxa" w:w="60"/>
              <w:left w:type="dxa" w:w="100"/>
              <w:bottom w:type="dxa" w:w="60"/>
              <w:right w:type="dxa" w:w="100"/>
            </w:tcMar>
            <w:vAlign w:val="center"/>
          </w:tcPr>
          <w:p>
            <w:pPr>
              <w:spacing w:after="20" w:before="0" w:line="236"/>
              <w:jc w:val="left"/>
            </w:pPr>
            <w:r>
              <w:rPr>
                <w:rFonts w:ascii="Calibri" w:cs="Calibri" w:eastAsia="Calibri" w:hAnsi="Calibri"/>
                <w:b/>
                <w:bCs/>
                <w:i w:val="false"/>
                <w:iCs w:val="false"/>
                <w:color w:val="222222"/>
                <w:sz w:val="19"/>
                <w:szCs w:val="19"/>
              </w:rPr>
              <w:t xml:space="preserve">Objet</w:t>
            </w:r>
          </w:p>
        </w:tc>
        <w:tc>
          <w:tcPr>
            <w:tcW w:type="dxa" w:w="6960"/>
            <w:tcMar>
              <w:top w:type="dxa" w:w="60"/>
              <w:left w:type="dxa" w:w="100"/>
              <w:bottom w:type="dxa" w:w="60"/>
              <w:right w:type="dxa" w:w="100"/>
            </w:tcMar>
            <w:vAlign w:val="center"/>
          </w:tcPr>
          <w:p>
            <w:pPr>
              <w:spacing w:after="20" w:before="0" w:line="236"/>
              <w:jc w:val="left"/>
            </w:pPr>
            <w:r>
              <w:rPr>
                <w:rFonts w:ascii="Calibri" w:cs="Calibri" w:eastAsia="Calibri" w:hAnsi="Calibri"/>
                <w:b w:val="false"/>
                <w:bCs w:val="false"/>
                <w:i w:val="false"/>
                <w:iCs w:val="false"/>
                <w:color w:val="222222"/>
                <w:sz w:val="19"/>
                <w:szCs w:val="19"/>
              </w:rPr>
              <w:t xml:space="preserve">Revue de la démonstration de la plateforme PME360 (moteur de comptabilité et de scoring) et arbitrages en vue du lancement commercial</w:t>
            </w:r>
          </w:p>
        </w:tc>
      </w:tr>
      <w:tr>
        <w:tc>
          <w:tcPr>
            <w:tcW w:type="dxa" w:w="2400"/>
            <w:shd w:fill="F2F3F5" w:color="auto" w:val="clear"/>
            <w:tcMar>
              <w:top w:type="dxa" w:w="60"/>
              <w:left w:type="dxa" w:w="100"/>
              <w:bottom w:type="dxa" w:w="60"/>
              <w:right w:type="dxa" w:w="100"/>
            </w:tcMar>
            <w:vAlign w:val="center"/>
          </w:tcPr>
          <w:p>
            <w:pPr>
              <w:spacing w:after="20" w:before="0" w:line="236"/>
              <w:jc w:val="left"/>
            </w:pPr>
            <w:r>
              <w:rPr>
                <w:rFonts w:ascii="Calibri" w:cs="Calibri" w:eastAsia="Calibri" w:hAnsi="Calibri"/>
                <w:b/>
                <w:bCs/>
                <w:i w:val="false"/>
                <w:iCs w:val="false"/>
                <w:color w:val="222222"/>
                <w:sz w:val="19"/>
                <w:szCs w:val="19"/>
              </w:rPr>
              <w:t xml:space="preserve">Date</w:t>
            </w:r>
          </w:p>
        </w:tc>
        <w:tc>
          <w:tcPr>
            <w:tcW w:type="dxa" w:w="6960"/>
            <w:tcMar>
              <w:top w:type="dxa" w:w="60"/>
              <w:left w:type="dxa" w:w="100"/>
              <w:bottom w:type="dxa" w:w="60"/>
              <w:right w:type="dxa" w:w="100"/>
            </w:tcMar>
            <w:vAlign w:val="center"/>
          </w:tcPr>
          <w:p>
            <w:pPr>
              <w:spacing w:after="20" w:before="0" w:line="236"/>
              <w:jc w:val="left"/>
            </w:pPr>
            <w:r>
              <w:rPr>
                <w:rFonts w:ascii="Calibri" w:cs="Calibri" w:eastAsia="Calibri" w:hAnsi="Calibri"/>
                <w:b w:val="false"/>
                <w:bCs w:val="false"/>
                <w:i w:val="false"/>
                <w:iCs w:val="false"/>
                <w:color w:val="222222"/>
                <w:sz w:val="19"/>
                <w:szCs w:val="19"/>
              </w:rPr>
              <w:t xml:space="preserve">Le __________________ (réunion de la veille)</w:t>
            </w:r>
          </w:p>
        </w:tc>
      </w:tr>
      <w:tr>
        <w:tc>
          <w:tcPr>
            <w:tcW w:type="dxa" w:w="2400"/>
            <w:shd w:fill="F2F3F5" w:color="auto" w:val="clear"/>
            <w:tcMar>
              <w:top w:type="dxa" w:w="60"/>
              <w:left w:type="dxa" w:w="100"/>
              <w:bottom w:type="dxa" w:w="60"/>
              <w:right w:type="dxa" w:w="100"/>
            </w:tcMar>
            <w:vAlign w:val="center"/>
          </w:tcPr>
          <w:p>
            <w:pPr>
              <w:spacing w:after="20" w:before="0" w:line="236"/>
              <w:jc w:val="left"/>
            </w:pPr>
            <w:r>
              <w:rPr>
                <w:rFonts w:ascii="Calibri" w:cs="Calibri" w:eastAsia="Calibri" w:hAnsi="Calibri"/>
                <w:b/>
                <w:bCs/>
                <w:i w:val="false"/>
                <w:iCs w:val="false"/>
                <w:color w:val="222222"/>
                <w:sz w:val="19"/>
                <w:szCs w:val="19"/>
              </w:rPr>
              <w:t xml:space="preserve">Lieu</w:t>
            </w:r>
          </w:p>
        </w:tc>
        <w:tc>
          <w:tcPr>
            <w:tcW w:type="dxa" w:w="6960"/>
            <w:tcMar>
              <w:top w:type="dxa" w:w="60"/>
              <w:left w:type="dxa" w:w="100"/>
              <w:bottom w:type="dxa" w:w="60"/>
              <w:right w:type="dxa" w:w="100"/>
            </w:tcMar>
            <w:vAlign w:val="center"/>
          </w:tcPr>
          <w:p>
            <w:pPr>
              <w:spacing w:after="20" w:before="0" w:line="236"/>
              <w:jc w:val="left"/>
            </w:pPr>
            <w:r>
              <w:rPr>
                <w:rFonts w:ascii="Calibri" w:cs="Calibri" w:eastAsia="Calibri" w:hAnsi="Calibri"/>
                <w:b w:val="false"/>
                <w:bCs w:val="false"/>
                <w:i w:val="false"/>
                <w:iCs w:val="false"/>
                <w:color w:val="222222"/>
                <w:sz w:val="19"/>
                <w:szCs w:val="19"/>
              </w:rPr>
              <w:t xml:space="preserve">Siège SITIAME Capital — Abidjan (à confirmer)</w:t>
            </w:r>
          </w:p>
        </w:tc>
      </w:tr>
      <w:tr>
        <w:tc>
          <w:tcPr>
            <w:tcW w:type="dxa" w:w="2400"/>
            <w:shd w:fill="F2F3F5" w:color="auto" w:val="clear"/>
            <w:tcMar>
              <w:top w:type="dxa" w:w="60"/>
              <w:left w:type="dxa" w:w="100"/>
              <w:bottom w:type="dxa" w:w="60"/>
              <w:right w:type="dxa" w:w="100"/>
            </w:tcMar>
            <w:vAlign w:val="center"/>
          </w:tcPr>
          <w:p>
            <w:pPr>
              <w:spacing w:after="20" w:before="0" w:line="236"/>
              <w:jc w:val="left"/>
            </w:pPr>
            <w:r>
              <w:rPr>
                <w:rFonts w:ascii="Calibri" w:cs="Calibri" w:eastAsia="Calibri" w:hAnsi="Calibri"/>
                <w:b/>
                <w:bCs/>
                <w:i w:val="false"/>
                <w:iCs w:val="false"/>
                <w:color w:val="222222"/>
                <w:sz w:val="19"/>
                <w:szCs w:val="19"/>
              </w:rPr>
              <w:t xml:space="preserve">Participants</w:t>
            </w:r>
          </w:p>
        </w:tc>
        <w:tc>
          <w:tcPr>
            <w:tcW w:type="dxa" w:w="6960"/>
            <w:tcMar>
              <w:top w:type="dxa" w:w="60"/>
              <w:left w:type="dxa" w:w="100"/>
              <w:bottom w:type="dxa" w:w="60"/>
              <w:right w:type="dxa" w:w="100"/>
            </w:tcMar>
            <w:vAlign w:val="center"/>
          </w:tcPr>
          <w:p>
            <w:pPr>
              <w:spacing w:after="20" w:before="0" w:line="236"/>
              <w:jc w:val="left"/>
            </w:pPr>
            <w:r>
              <w:rPr>
                <w:rFonts w:ascii="Calibri" w:cs="Calibri" w:eastAsia="Calibri" w:hAnsi="Calibri"/>
                <w:b w:val="false"/>
                <w:bCs w:val="false"/>
                <w:i w:val="false"/>
                <w:iCs w:val="false"/>
                <w:color w:val="222222"/>
                <w:sz w:val="19"/>
                <w:szCs w:val="19"/>
              </w:rPr>
              <w:t xml:space="preserve">Le Directeur Général (animateur de la réunion) et les deux associés (CFO et CTO)</w:t>
            </w:r>
          </w:p>
        </w:tc>
      </w:tr>
      <w:tr>
        <w:tc>
          <w:tcPr>
            <w:tcW w:type="dxa" w:w="2400"/>
            <w:shd w:fill="F2F3F5" w:color="auto" w:val="clear"/>
            <w:tcMar>
              <w:top w:type="dxa" w:w="60"/>
              <w:left w:type="dxa" w:w="100"/>
              <w:bottom w:type="dxa" w:w="60"/>
              <w:right w:type="dxa" w:w="100"/>
            </w:tcMar>
            <w:vAlign w:val="center"/>
          </w:tcPr>
          <w:p>
            <w:pPr>
              <w:spacing w:after="20" w:before="0" w:line="236"/>
              <w:jc w:val="left"/>
            </w:pPr>
            <w:r>
              <w:rPr>
                <w:rFonts w:ascii="Calibri" w:cs="Calibri" w:eastAsia="Calibri" w:hAnsi="Calibri"/>
                <w:b/>
                <w:bCs/>
                <w:i w:val="false"/>
                <w:iCs w:val="false"/>
                <w:color w:val="222222"/>
                <w:sz w:val="19"/>
                <w:szCs w:val="19"/>
              </w:rPr>
              <w:t xml:space="preserve">Rédacteur</w:t>
            </w:r>
          </w:p>
        </w:tc>
        <w:tc>
          <w:tcPr>
            <w:tcW w:type="dxa" w:w="6960"/>
            <w:tcMar>
              <w:top w:type="dxa" w:w="60"/>
              <w:left w:type="dxa" w:w="100"/>
              <w:bottom w:type="dxa" w:w="60"/>
              <w:right w:type="dxa" w:w="100"/>
            </w:tcMar>
            <w:vAlign w:val="center"/>
          </w:tcPr>
          <w:p>
            <w:pPr>
              <w:spacing w:after="20" w:before="0" w:line="236"/>
              <w:jc w:val="left"/>
            </w:pPr>
            <w:r>
              <w:rPr>
                <w:rFonts w:ascii="Calibri" w:cs="Calibri" w:eastAsia="Calibri" w:hAnsi="Calibri"/>
                <w:b w:val="false"/>
                <w:bCs w:val="false"/>
                <w:i w:val="false"/>
                <w:iCs w:val="false"/>
                <w:color w:val="222222"/>
                <w:sz w:val="19"/>
                <w:szCs w:val="19"/>
              </w:rPr>
              <w:t xml:space="preserve">______________________________</w:t>
            </w:r>
          </w:p>
        </w:tc>
      </w:tr>
      <w:tr>
        <w:tc>
          <w:tcPr>
            <w:tcW w:type="dxa" w:w="2400"/>
            <w:shd w:fill="F2F3F5" w:color="auto" w:val="clear"/>
            <w:tcMar>
              <w:top w:type="dxa" w:w="60"/>
              <w:left w:type="dxa" w:w="100"/>
              <w:bottom w:type="dxa" w:w="60"/>
              <w:right w:type="dxa" w:w="100"/>
            </w:tcMar>
            <w:vAlign w:val="center"/>
          </w:tcPr>
          <w:p>
            <w:pPr>
              <w:spacing w:after="20" w:before="0" w:line="236"/>
              <w:jc w:val="left"/>
            </w:pPr>
            <w:r>
              <w:rPr>
                <w:rFonts w:ascii="Calibri" w:cs="Calibri" w:eastAsia="Calibri" w:hAnsi="Calibri"/>
                <w:b/>
                <w:bCs/>
                <w:i w:val="false"/>
                <w:iCs w:val="false"/>
                <w:color w:val="222222"/>
                <w:sz w:val="19"/>
                <w:szCs w:val="19"/>
              </w:rPr>
              <w:t xml:space="preserve">Diffusion</w:t>
            </w:r>
          </w:p>
        </w:tc>
        <w:tc>
          <w:tcPr>
            <w:tcW w:type="dxa" w:w="6960"/>
            <w:tcMar>
              <w:top w:type="dxa" w:w="60"/>
              <w:left w:type="dxa" w:w="100"/>
              <w:bottom w:type="dxa" w:w="60"/>
              <w:right w:type="dxa" w:w="100"/>
            </w:tcMar>
            <w:vAlign w:val="center"/>
          </w:tcPr>
          <w:p>
            <w:pPr>
              <w:spacing w:after="20" w:before="0" w:line="236"/>
              <w:jc w:val="left"/>
            </w:pPr>
            <w:r>
              <w:rPr>
                <w:rFonts w:ascii="Calibri" w:cs="Calibri" w:eastAsia="Calibri" w:hAnsi="Calibri"/>
                <w:b w:val="false"/>
                <w:bCs w:val="false"/>
                <w:i w:val="false"/>
                <w:iCs w:val="false"/>
                <w:color w:val="222222"/>
                <w:sz w:val="19"/>
                <w:szCs w:val="19"/>
              </w:rPr>
              <w:t xml:space="preserve">Associés · Équipe produit (développeurs) · Archives projet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B1F3A" w:sz="24"/>
              <w:bottom w:val="none"/>
              <w:right w:val="none"/>
            </w:tcBorders>
            <w:shd w:fill="F2F3F5" w:color="auto" w:val="clear"/>
            <w:tcMar>
              <w:top w:type="dxa" w:w="130"/>
              <w:left w:type="dxa" w:w="180"/>
              <w:bottom w:type="dxa" w:w="130"/>
              <w:right w:type="dxa" w:w="180"/>
            </w:tcMar>
          </w:tcPr>
          <w:p>
            <w:pPr>
              <w:spacing w:after="60" w:before="0" w:line="264"/>
              <w:jc w:val="left"/>
            </w:pPr>
            <w:r>
              <w:rPr>
                <w:rFonts w:ascii="Calibri" w:cs="Calibri" w:eastAsia="Calibri" w:hAnsi="Calibri"/>
                <w:b/>
                <w:bCs/>
                <w:i w:val="false"/>
                <w:iCs w:val="false"/>
                <w:color w:val="0B1F3A"/>
                <w:sz w:val="21"/>
                <w:szCs w:val="21"/>
              </w:rPr>
              <w:t xml:space="preserve">Note de lecture</w:t>
            </w:r>
          </w:p>
          <w:p>
            <w:pPr>
              <w:spacing w:after="0" w:before="0" w:line="258"/>
              <w:jc w:val="left"/>
            </w:pPr>
            <w:r>
              <w:rPr>
                <w:rFonts w:ascii="Calibri" w:cs="Calibri" w:eastAsia="Calibri" w:hAnsi="Calibri"/>
                <w:b w:val="false"/>
                <w:bCs w:val="false"/>
                <w:i w:val="false"/>
                <w:iCs w:val="false"/>
                <w:color w:val="333333"/>
                <w:sz w:val="20"/>
                <w:szCs w:val="20"/>
              </w:rPr>
              <w:t xml:space="preserve">Ce compte rendu restitue les points de travail, décisions et actions issus de la revue de la plateforme PME360. Certains passages de la discussion étant techniques et exploratoires, les points restés ouverts sont explicitement signalés comme « à trancher » ou « à approfondir ».</w:t>
            </w:r>
          </w:p>
        </w:tc>
      </w:tr>
    </w:tbl>
    <w:p>
      <w:pPr>
        <w:pStyle w:val="Heading1"/>
        <w:pBdr>
          <w:bottom w:val="single" w:color="C8A24B" w:sz="14" w:space="6"/>
        </w:pBdr>
        <w:spacing w:after="140" w:before="300"/>
      </w:pPr>
      <w:r>
        <w:rPr>
          <w:rFonts w:ascii="Cambria" w:cs="Cambria" w:eastAsia="Cambria" w:hAnsi="Cambria"/>
          <w:b/>
          <w:bCs/>
          <w:color w:val="0B1F3A"/>
          <w:sz w:val="27"/>
          <w:szCs w:val="27"/>
        </w:rPr>
        <w:t xml:space="preserve">1. Résumé de la réunion</w:t>
      </w:r>
    </w:p>
    <w:p>
      <w:pPr>
        <w:spacing w:after="120" w:before="0" w:line="264"/>
        <w:jc w:val="both"/>
      </w:pPr>
      <w:r>
        <w:rPr>
          <w:rFonts w:ascii="Calibri" w:cs="Calibri" w:eastAsia="Calibri" w:hAnsi="Calibri"/>
          <w:b w:val="false"/>
          <w:bCs w:val="false"/>
          <w:i w:val="false"/>
          <w:iCs w:val="false"/>
          <w:color w:val="222222"/>
          <w:sz w:val="21"/>
          <w:szCs w:val="21"/>
        </w:rPr>
        <w:t xml:space="preserve">La réunion a été consacrée à une </w:t>
      </w:r>
      <w:r>
        <w:rPr>
          <w:rFonts w:ascii="Calibri" w:cs="Calibri" w:eastAsia="Calibri" w:hAnsi="Calibri"/>
          <w:b/>
          <w:bCs/>
          <w:i w:val="false"/>
          <w:iCs w:val="false"/>
          <w:color w:val="222222"/>
          <w:sz w:val="21"/>
          <w:szCs w:val="21"/>
        </w:rPr>
        <w:t xml:space="preserve">démonstration commentée de la plateforme PME360</w:t>
      </w:r>
      <w:r>
        <w:rPr>
          <w:rFonts w:ascii="Calibri" w:cs="Calibri" w:eastAsia="Calibri" w:hAnsi="Calibri"/>
          <w:b w:val="false"/>
          <w:bCs w:val="false"/>
          <w:i w:val="false"/>
          <w:iCs w:val="false"/>
          <w:color w:val="222222"/>
          <w:sz w:val="21"/>
          <w:szCs w:val="21"/>
        </w:rPr>
        <w:t xml:space="preserve"> — de la saisie des pièces jusqu’à la génération des écritures comptables et du score — suivie d’une discussion sur les points à fiabiliser avant le lancement. Trois grands blocs ont structuré les échanges : (1) la </w:t>
      </w:r>
      <w:r>
        <w:rPr>
          <w:rFonts w:ascii="Calibri" w:cs="Calibri" w:eastAsia="Calibri" w:hAnsi="Calibri"/>
          <w:b/>
          <w:bCs/>
          <w:i w:val="false"/>
          <w:iCs w:val="false"/>
          <w:color w:val="222222"/>
          <w:sz w:val="21"/>
          <w:szCs w:val="21"/>
        </w:rPr>
        <w:t xml:space="preserve">chaîne de traitement et de validation des factures</w:t>
      </w:r>
      <w:r>
        <w:rPr>
          <w:rFonts w:ascii="Calibri" w:cs="Calibri" w:eastAsia="Calibri" w:hAnsi="Calibri"/>
          <w:b w:val="false"/>
          <w:bCs w:val="false"/>
          <w:i w:val="false"/>
          <w:iCs w:val="false"/>
          <w:color w:val="222222"/>
          <w:sz w:val="21"/>
          <w:szCs w:val="21"/>
        </w:rPr>
        <w:t xml:space="preserve">, (2) la </w:t>
      </w:r>
      <w:r>
        <w:rPr>
          <w:rFonts w:ascii="Calibri" w:cs="Calibri" w:eastAsia="Calibri" w:hAnsi="Calibri"/>
          <w:b/>
          <w:bCs/>
          <w:i w:val="false"/>
          <w:iCs w:val="false"/>
          <w:color w:val="222222"/>
          <w:sz w:val="21"/>
          <w:szCs w:val="21"/>
        </w:rPr>
        <w:t xml:space="preserve">fiabilité des états financiers et du scoring</w:t>
      </w:r>
      <w:r>
        <w:rPr>
          <w:rFonts w:ascii="Calibri" w:cs="Calibri" w:eastAsia="Calibri" w:hAnsi="Calibri"/>
          <w:b w:val="false"/>
          <w:bCs w:val="false"/>
          <w:i w:val="false"/>
          <w:iCs w:val="false"/>
          <w:color w:val="222222"/>
          <w:sz w:val="21"/>
          <w:szCs w:val="21"/>
        </w:rPr>
        <w:t xml:space="preserve">, condition de crédibilité du volet financement, et (3) plusieurs </w:t>
      </w:r>
      <w:r>
        <w:rPr>
          <w:rFonts w:ascii="Calibri" w:cs="Calibri" w:eastAsia="Calibri" w:hAnsi="Calibri"/>
          <w:b/>
          <w:bCs/>
          <w:i w:val="false"/>
          <w:iCs w:val="false"/>
          <w:color w:val="222222"/>
          <w:sz w:val="21"/>
          <w:szCs w:val="21"/>
        </w:rPr>
        <w:t xml:space="preserve">axes d’évolution du modèle</w:t>
      </w:r>
      <w:r>
        <w:rPr>
          <w:rFonts w:ascii="Calibri" w:cs="Calibri" w:eastAsia="Calibri" w:hAnsi="Calibri"/>
          <w:b w:val="false"/>
          <w:bCs w:val="false"/>
          <w:i w:val="false"/>
          <w:iCs w:val="false"/>
          <w:color w:val="222222"/>
          <w:sz w:val="21"/>
          <w:szCs w:val="21"/>
        </w:rPr>
        <w:t xml:space="preserve"> : ouverture à des cabinets partenaires, intégration des paiements et gestion d’une trésorerie « réelle ». La séance s’est conclue sur la priorité de finaliser la plateforme avant d’associer un expert-comptable externe pour valider les livrables comptables.</w:t>
      </w:r>
    </w:p>
    <w:p>
      <w:pPr>
        <w:pStyle w:val="Heading1"/>
        <w:pBdr>
          <w:bottom w:val="single" w:color="C8A24B" w:sz="14" w:space="6"/>
        </w:pBdr>
        <w:spacing w:after="140" w:before="300"/>
      </w:pPr>
      <w:r>
        <w:rPr>
          <w:rFonts w:ascii="Cambria" w:cs="Cambria" w:eastAsia="Cambria" w:hAnsi="Cambria"/>
          <w:b/>
          <w:bCs/>
          <w:color w:val="0B1F3A"/>
          <w:sz w:val="27"/>
          <w:szCs w:val="27"/>
        </w:rPr>
        <w:t xml:space="preserve">2. Points abordés et échanges</w:t>
      </w:r>
    </w:p>
    <w:p>
      <w:pPr>
        <w:pStyle w:val="Heading2"/>
        <w:spacing w:after="100" w:before="220"/>
      </w:pPr>
      <w:r>
        <w:rPr>
          <w:rFonts w:ascii="Cambria" w:cs="Cambria" w:eastAsia="Cambria" w:hAnsi="Cambria"/>
          <w:b/>
          <w:bCs/>
          <w:color w:val="0B1F3A"/>
          <w:sz w:val="23"/>
          <w:szCs w:val="23"/>
        </w:rPr>
        <w:t xml:space="preserve">2.1 Chaîne de traitement et validation des pièces</w:t>
      </w:r>
    </w:p>
    <w:p>
      <w:pPr>
        <w:spacing w:after="120" w:before="0" w:line="264"/>
        <w:jc w:val="both"/>
      </w:pPr>
      <w:r>
        <w:rPr>
          <w:rFonts w:ascii="Calibri" w:cs="Calibri" w:eastAsia="Calibri" w:hAnsi="Calibri"/>
          <w:b w:val="false"/>
          <w:bCs w:val="false"/>
          <w:i w:val="false"/>
          <w:iCs w:val="false"/>
          <w:color w:val="222222"/>
          <w:sz w:val="21"/>
          <w:szCs w:val="21"/>
        </w:rPr>
        <w:t xml:space="preserve">La démonstration a montré le rapprochement entre les informations d’une pièce (client, fournisseur, montants, taxes/impôts retenus) et les données saisies, avec un </w:t>
      </w:r>
      <w:r>
        <w:rPr>
          <w:rFonts w:ascii="Calibri" w:cs="Calibri" w:eastAsia="Calibri" w:hAnsi="Calibri"/>
          <w:b/>
          <w:bCs/>
          <w:i w:val="false"/>
          <w:iCs w:val="false"/>
          <w:color w:val="222222"/>
          <w:sz w:val="21"/>
          <w:szCs w:val="21"/>
        </w:rPr>
        <w:t xml:space="preserve">contrôle de conformité</w:t>
      </w:r>
      <w:r>
        <w:rPr>
          <w:rFonts w:ascii="Calibri" w:cs="Calibri" w:eastAsia="Calibri" w:hAnsi="Calibri"/>
          <w:b w:val="false"/>
          <w:bCs w:val="false"/>
          <w:i w:val="false"/>
          <w:iCs w:val="false"/>
          <w:color w:val="222222"/>
          <w:sz w:val="21"/>
          <w:szCs w:val="21"/>
        </w:rPr>
        <w:t xml:space="preserve"> (fournisseur/partenaire « authentique », cohérence des montants) et l’attribution d’un niveau de conformité (des taux de type 80 % ou 100 % ont été évoqués). Une fois les pièces validées, la plateforme procède à la </w:t>
      </w:r>
      <w:r>
        <w:rPr>
          <w:rFonts w:ascii="Calibri" w:cs="Calibri" w:eastAsia="Calibri" w:hAnsi="Calibri"/>
          <w:b/>
          <w:bCs/>
          <w:i w:val="false"/>
          <w:iCs w:val="false"/>
          <w:color w:val="222222"/>
          <w:sz w:val="21"/>
          <w:szCs w:val="21"/>
        </w:rPr>
        <w:t xml:space="preserve">génération automatique des écritures comptables</w:t>
      </w:r>
      <w:r>
        <w:rPr>
          <w:rFonts w:ascii="Calibri" w:cs="Calibri" w:eastAsia="Calibri" w:hAnsi="Calibri"/>
          <w:b w:val="false"/>
          <w:bCs w:val="false"/>
          <w:i w:val="false"/>
          <w:iCs w:val="false"/>
          <w:color w:val="222222"/>
          <w:sz w:val="21"/>
          <w:szCs w:val="21"/>
        </w:rPr>
        <w:t xml:space="preserve">.</w:t>
      </w:r>
    </w:p>
    <w:p>
      <w:pPr>
        <w:spacing w:after="120" w:before="0" w:line="264"/>
        <w:jc w:val="both"/>
      </w:pPr>
      <w:r>
        <w:rPr>
          <w:rFonts w:ascii="Calibri" w:cs="Calibri" w:eastAsia="Calibri" w:hAnsi="Calibri"/>
          <w:b w:val="false"/>
          <w:bCs w:val="false"/>
          <w:i w:val="false"/>
          <w:iCs w:val="false"/>
          <w:color w:val="222222"/>
          <w:sz w:val="21"/>
          <w:szCs w:val="21"/>
        </w:rPr>
        <w:t xml:space="preserve">Le principal point de débat a porté sur </w:t>
      </w:r>
      <w:r>
        <w:rPr>
          <w:rFonts w:ascii="Calibri" w:cs="Calibri" w:eastAsia="Calibri" w:hAnsi="Calibri"/>
          <w:b/>
          <w:bCs/>
          <w:i w:val="false"/>
          <w:iCs w:val="false"/>
          <w:color w:val="222222"/>
          <w:sz w:val="21"/>
          <w:szCs w:val="21"/>
        </w:rPr>
        <w:t xml:space="preserve">qui valide la facture et comment</w:t>
      </w:r>
      <w:r>
        <w:rPr>
          <w:rFonts w:ascii="Calibri" w:cs="Calibri" w:eastAsia="Calibri" w:hAnsi="Calibri"/>
          <w:b w:val="false"/>
          <w:bCs w:val="false"/>
          <w:i w:val="false"/>
          <w:iCs w:val="false"/>
          <w:color w:val="222222"/>
          <w:sz w:val="21"/>
          <w:szCs w:val="21"/>
        </w:rPr>
        <w:t xml:space="preserve"> : le client qui scanne sa pièce n’est, dans la plupart des cas, pas outillé pour la valider lui-même. Plusieurs options ont été discutées :</w:t>
      </w:r>
    </w:p>
    <w:p>
      <w:pPr>
        <w:pStyle w:val="ListParagraph"/>
        <w:numPr>
          <w:ilvl w:val="0"/>
          <w:numId w:val="2"/>
        </w:numPr>
        <w:spacing w:after="70" w:line="260"/>
        <w:jc w:val="both"/>
      </w:pPr>
      <w:r>
        <w:rPr>
          <w:rFonts w:ascii="Calibri" w:cs="Calibri" w:eastAsia="Calibri" w:hAnsi="Calibri"/>
          <w:b/>
          <w:bCs/>
          <w:i w:val="false"/>
          <w:iCs w:val="false"/>
          <w:color w:val="222222"/>
          <w:sz w:val="21"/>
          <w:szCs w:val="21"/>
        </w:rPr>
        <w:t xml:space="preserve">Validation par le client</w:t>
      </w:r>
      <w:r>
        <w:rPr>
          <w:rFonts w:ascii="Calibri" w:cs="Calibri" w:eastAsia="Calibri" w:hAnsi="Calibri"/>
          <w:b w:val="false"/>
          <w:bCs w:val="false"/>
          <w:i w:val="false"/>
          <w:iCs w:val="false"/>
          <w:color w:val="222222"/>
          <w:sz w:val="21"/>
          <w:szCs w:val="21"/>
        </w:rPr>
        <w:t xml:space="preserve"> : simple pour l’usage (scanner et envoyer la facture), mais peu fiable car tous les clients ne maîtrisent pas la validation comptable.</w:t>
      </w:r>
    </w:p>
    <w:p>
      <w:pPr>
        <w:pStyle w:val="ListParagraph"/>
        <w:numPr>
          <w:ilvl w:val="0"/>
          <w:numId w:val="2"/>
        </w:numPr>
        <w:spacing w:after="70" w:line="260"/>
        <w:jc w:val="both"/>
      </w:pPr>
      <w:r>
        <w:rPr>
          <w:rFonts w:ascii="Calibri" w:cs="Calibri" w:eastAsia="Calibri" w:hAnsi="Calibri"/>
          <w:b/>
          <w:bCs/>
          <w:i w:val="false"/>
          <w:iCs w:val="false"/>
          <w:color w:val="222222"/>
          <w:sz w:val="21"/>
          <w:szCs w:val="21"/>
        </w:rPr>
        <w:t xml:space="preserve">Validation par les comptables de SITIAME</w:t>
      </w:r>
      <w:r>
        <w:rPr>
          <w:rFonts w:ascii="Calibri" w:cs="Calibri" w:eastAsia="Calibri" w:hAnsi="Calibri"/>
          <w:b w:val="false"/>
          <w:bCs w:val="false"/>
          <w:i w:val="false"/>
          <w:iCs w:val="false"/>
          <w:color w:val="222222"/>
          <w:sz w:val="21"/>
          <w:szCs w:val="21"/>
        </w:rPr>
        <w:t xml:space="preserve"> (contrôle permanent) : des comptables affectés à des lots d’entreprises vérifient les documents et modifications, entreprise par entreprise. Fiable mais générateur d’une charge de travail importante.</w:t>
      </w:r>
    </w:p>
    <w:p>
      <w:pPr>
        <w:pStyle w:val="ListParagraph"/>
        <w:numPr>
          <w:ilvl w:val="0"/>
          <w:numId w:val="2"/>
        </w:numPr>
        <w:spacing w:after="70" w:line="260"/>
        <w:jc w:val="both"/>
      </w:pPr>
      <w:r>
        <w:rPr>
          <w:rFonts w:ascii="Calibri" w:cs="Calibri" w:eastAsia="Calibri" w:hAnsi="Calibri"/>
          <w:b/>
          <w:bCs/>
          <w:i w:val="false"/>
          <w:iCs w:val="false"/>
          <w:color w:val="222222"/>
          <w:sz w:val="21"/>
          <w:szCs w:val="21"/>
        </w:rPr>
        <w:t xml:space="preserve">Automatisation + IA de vérification</w:t>
      </w:r>
      <w:r>
        <w:rPr>
          <w:rFonts w:ascii="Calibri" w:cs="Calibri" w:eastAsia="Calibri" w:hAnsi="Calibri"/>
          <w:b w:val="false"/>
          <w:bCs w:val="false"/>
          <w:i w:val="false"/>
          <w:iCs w:val="false"/>
          <w:color w:val="222222"/>
          <w:sz w:val="21"/>
          <w:szCs w:val="21"/>
        </w:rPr>
        <w:t xml:space="preserve"> : rendre la validation automatique une fois les contrôles passés, avec une IA en appui pour vérifier et alléger la charge des comptables.</w:t>
      </w:r>
    </w:p>
    <w:p>
      <w:pPr>
        <w:pStyle w:val="Heading2"/>
        <w:spacing w:after="100" w:before="220"/>
      </w:pPr>
      <w:r>
        <w:rPr>
          <w:rFonts w:ascii="Cambria" w:cs="Cambria" w:eastAsia="Cambria" w:hAnsi="Cambria"/>
          <w:b/>
          <w:bCs/>
          <w:color w:val="0B1F3A"/>
          <w:sz w:val="23"/>
          <w:szCs w:val="23"/>
        </w:rPr>
        <w:t xml:space="preserve">2.2 Filtre qualité à la saisie</w:t>
      </w:r>
    </w:p>
    <w:p>
      <w:pPr>
        <w:spacing w:after="120" w:before="0" w:line="264"/>
        <w:jc w:val="both"/>
      </w:pPr>
      <w:r>
        <w:rPr>
          <w:rFonts w:ascii="Calibri" w:cs="Calibri" w:eastAsia="Calibri" w:hAnsi="Calibri"/>
          <w:b w:val="false"/>
          <w:bCs w:val="false"/>
          <w:i w:val="false"/>
          <w:iCs w:val="false"/>
          <w:color w:val="222222"/>
          <w:sz w:val="21"/>
          <w:szCs w:val="21"/>
        </w:rPr>
        <w:t xml:space="preserve">Pour éviter que des pièces incomplètes n’entrent dans le système, il a été proposé de mettre en place un </w:t>
      </w:r>
      <w:r>
        <w:rPr>
          <w:rFonts w:ascii="Calibri" w:cs="Calibri" w:eastAsia="Calibri" w:hAnsi="Calibri"/>
          <w:b/>
          <w:bCs/>
          <w:i w:val="false"/>
          <w:iCs w:val="false"/>
          <w:color w:val="222222"/>
          <w:sz w:val="21"/>
          <w:szCs w:val="21"/>
        </w:rPr>
        <w:t xml:space="preserve">filtre de qualité à la saisie</w:t>
      </w:r>
      <w:r>
        <w:rPr>
          <w:rFonts w:ascii="Calibri" w:cs="Calibri" w:eastAsia="Calibri" w:hAnsi="Calibri"/>
          <w:b w:val="false"/>
          <w:bCs w:val="false"/>
          <w:i w:val="false"/>
          <w:iCs w:val="false"/>
          <w:color w:val="222222"/>
          <w:sz w:val="21"/>
          <w:szCs w:val="21"/>
        </w:rPr>
        <w:t xml:space="preserve"> contrôlant la présence des informations obligatoires (numéro de pièce, dates, éléments d’identification…). Une pièce ne comportant pas toutes les informations requises ne doit pas passer ; une fois le filtre franchi, la validation peut être automatique.</w:t>
      </w:r>
    </w:p>
    <w:p>
      <w:pPr>
        <w:pStyle w:val="Heading2"/>
        <w:spacing w:after="100" w:before="220"/>
      </w:pPr>
      <w:r>
        <w:rPr>
          <w:rFonts w:ascii="Cambria" w:cs="Cambria" w:eastAsia="Cambria" w:hAnsi="Cambria"/>
          <w:b/>
          <w:bCs/>
          <w:color w:val="0B1F3A"/>
          <w:sz w:val="23"/>
          <w:szCs w:val="23"/>
        </w:rPr>
        <w:t xml:space="preserve">2.3 Fiabilité des états financiers et du scoring</w:t>
      </w:r>
    </w:p>
    <w:p>
      <w:pPr>
        <w:spacing w:after="120" w:before="0" w:line="264"/>
        <w:jc w:val="both"/>
      </w:pPr>
      <w:r>
        <w:rPr>
          <w:rFonts w:ascii="Calibri" w:cs="Calibri" w:eastAsia="Calibri" w:hAnsi="Calibri"/>
          <w:b w:val="false"/>
          <w:bCs w:val="false"/>
          <w:i w:val="false"/>
          <w:iCs w:val="false"/>
          <w:color w:val="222222"/>
          <w:sz w:val="21"/>
          <w:szCs w:val="21"/>
        </w:rPr>
        <w:t xml:space="preserve">Le point a été souligné comme </w:t>
      </w:r>
      <w:r>
        <w:rPr>
          <w:rFonts w:ascii="Calibri" w:cs="Calibri" w:eastAsia="Calibri" w:hAnsi="Calibri"/>
          <w:b/>
          <w:bCs/>
          <w:i w:val="false"/>
          <w:iCs w:val="false"/>
          <w:color w:val="222222"/>
          <w:sz w:val="21"/>
          <w:szCs w:val="21"/>
        </w:rPr>
        <w:t xml:space="preserve">central et non négociable</w:t>
      </w:r>
      <w:r>
        <w:rPr>
          <w:rFonts w:ascii="Calibri" w:cs="Calibri" w:eastAsia="Calibri" w:hAnsi="Calibri"/>
          <w:b w:val="false"/>
          <w:bCs w:val="false"/>
          <w:i w:val="false"/>
          <w:iCs w:val="false"/>
          <w:color w:val="222222"/>
          <w:sz w:val="21"/>
          <w:szCs w:val="21"/>
        </w:rPr>
        <w:t xml:space="preserve"> : l’objectif final de PME360 est de produire des informations comptables et financières fiables, faute de quoi le score et les décisions de financement qui en découlent perdent toute valeur. Le risque évoqué : qu’une entreprise cumule des données sur plusieurs années dans le système, puis sollicite un financement sur la base d’un historique non fiabilisé. La piste retenue est un </w:t>
      </w:r>
      <w:r>
        <w:rPr>
          <w:rFonts w:ascii="Calibri" w:cs="Calibri" w:eastAsia="Calibri" w:hAnsi="Calibri"/>
          <w:b/>
          <w:bCs/>
          <w:i w:val="false"/>
          <w:iCs w:val="false"/>
          <w:color w:val="222222"/>
          <w:sz w:val="21"/>
          <w:szCs w:val="21"/>
        </w:rPr>
        <w:t xml:space="preserve">contrôle qualité périodique</w:t>
      </w:r>
      <w:r>
        <w:rPr>
          <w:rFonts w:ascii="Calibri" w:cs="Calibri" w:eastAsia="Calibri" w:hAnsi="Calibri"/>
          <w:b w:val="false"/>
          <w:bCs w:val="false"/>
          <w:i w:val="false"/>
          <w:iCs w:val="false"/>
          <w:color w:val="222222"/>
          <w:sz w:val="21"/>
          <w:szCs w:val="21"/>
        </w:rPr>
        <w:t xml:space="preserve"> (par exemple trimestriel), entreprise par entreprise, sur des données fiables.</w:t>
      </w:r>
    </w:p>
    <w:p>
      <w:pPr>
        <w:pStyle w:val="Heading2"/>
        <w:spacing w:after="100" w:before="220"/>
      </w:pPr>
      <w:r>
        <w:rPr>
          <w:rFonts w:ascii="Cambria" w:cs="Cambria" w:eastAsia="Cambria" w:hAnsi="Cambria"/>
          <w:b/>
          <w:bCs/>
          <w:color w:val="0B1F3A"/>
          <w:sz w:val="23"/>
          <w:szCs w:val="23"/>
        </w:rPr>
        <w:t xml:space="preserve">2.4 Contrainte de capacité (équipe technique)</w:t>
      </w:r>
    </w:p>
    <w:p>
      <w:pPr>
        <w:spacing w:after="120" w:before="0" w:line="264"/>
        <w:jc w:val="both"/>
      </w:pPr>
      <w:r>
        <w:rPr>
          <w:rFonts w:ascii="Calibri" w:cs="Calibri" w:eastAsia="Calibri" w:hAnsi="Calibri"/>
          <w:b w:val="false"/>
          <w:bCs w:val="false"/>
          <w:i w:val="false"/>
          <w:iCs w:val="false"/>
          <w:color w:val="222222"/>
          <w:sz w:val="21"/>
          <w:szCs w:val="21"/>
        </w:rPr>
        <w:t xml:space="preserve">Il a été rappelé que l’équipe ne compte pour l’instant que </w:t>
      </w:r>
      <w:r>
        <w:rPr>
          <w:rFonts w:ascii="Calibri" w:cs="Calibri" w:eastAsia="Calibri" w:hAnsi="Calibri"/>
          <w:b/>
          <w:bCs/>
          <w:i w:val="false"/>
          <w:iCs w:val="false"/>
          <w:color w:val="222222"/>
          <w:sz w:val="21"/>
          <w:szCs w:val="21"/>
        </w:rPr>
        <w:t xml:space="preserve">deux développeurs</w:t>
      </w:r>
      <w:r>
        <w:rPr>
          <w:rFonts w:ascii="Calibri" w:cs="Calibri" w:eastAsia="Calibri" w:hAnsi="Calibri"/>
          <w:b w:val="false"/>
          <w:bCs w:val="false"/>
          <w:i w:val="false"/>
          <w:iCs w:val="false"/>
          <w:color w:val="222222"/>
          <w:sz w:val="21"/>
          <w:szCs w:val="21"/>
        </w:rPr>
        <w:t xml:space="preserve">, ce qui limite la capacité de traitement si plusieurs entreprises entrent simultanément. Cette contrainte renforce l’intérêt de l’automatisation et du filtrage en amont.</w:t>
      </w:r>
    </w:p>
    <w:p>
      <w:pPr>
        <w:pStyle w:val="Heading2"/>
        <w:spacing w:after="100" w:before="220"/>
      </w:pPr>
      <w:r>
        <w:rPr>
          <w:rFonts w:ascii="Cambria" w:cs="Cambria" w:eastAsia="Cambria" w:hAnsi="Cambria"/>
          <w:b/>
          <w:bCs/>
          <w:color w:val="0B1F3A"/>
          <w:sz w:val="23"/>
          <w:szCs w:val="23"/>
        </w:rPr>
        <w:t xml:space="preserve">2.5 Modèle « cabinets partenaires » (multi-cabinets)</w:t>
      </w:r>
    </w:p>
    <w:p>
      <w:pPr>
        <w:spacing w:after="120" w:before="0" w:line="264"/>
        <w:jc w:val="both"/>
      </w:pPr>
      <w:r>
        <w:rPr>
          <w:rFonts w:ascii="Calibri" w:cs="Calibri" w:eastAsia="Calibri" w:hAnsi="Calibri"/>
          <w:b w:val="false"/>
          <w:bCs w:val="false"/>
          <w:i w:val="false"/>
          <w:iCs w:val="false"/>
          <w:color w:val="222222"/>
          <w:sz w:val="21"/>
          <w:szCs w:val="21"/>
        </w:rPr>
        <w:t xml:space="preserve">Une évolution du modèle a été discutée : au-delà des clients directs, permettre à des </w:t>
      </w:r>
      <w:r>
        <w:rPr>
          <w:rFonts w:ascii="Calibri" w:cs="Calibri" w:eastAsia="Calibri" w:hAnsi="Calibri"/>
          <w:b/>
          <w:bCs/>
          <w:i w:val="false"/>
          <w:iCs w:val="false"/>
          <w:color w:val="222222"/>
          <w:sz w:val="21"/>
          <w:szCs w:val="21"/>
        </w:rPr>
        <w:t xml:space="preserve">cabinets comptables ou chargés d’affaires partenaires</w:t>
      </w:r>
      <w:r>
        <w:rPr>
          <w:rFonts w:ascii="Calibri" w:cs="Calibri" w:eastAsia="Calibri" w:hAnsi="Calibri"/>
          <w:b w:val="false"/>
          <w:bCs w:val="false"/>
          <w:i w:val="false"/>
          <w:iCs w:val="false"/>
          <w:color w:val="222222"/>
          <w:sz w:val="21"/>
          <w:szCs w:val="21"/>
        </w:rPr>
        <w:t xml:space="preserve">, disposant déjà d’un portefeuille de clients, de s’abonner et de gérer leurs propres clients sur la plateforme. L’analogie citée est celle d’un éditeur (type HP) qui accorde à ses partenaires une licence pour gérer leurs clients, </w:t>
      </w:r>
      <w:r>
        <w:rPr>
          <w:rFonts w:ascii="Calibri" w:cs="Calibri" w:eastAsia="Calibri" w:hAnsi="Calibri"/>
          <w:b/>
          <w:bCs/>
          <w:i w:val="false"/>
          <w:iCs w:val="false"/>
          <w:color w:val="222222"/>
          <w:sz w:val="21"/>
          <w:szCs w:val="21"/>
        </w:rPr>
        <w:t xml:space="preserve">tout en centralisant les données</w:t>
      </w:r>
      <w:r>
        <w:rPr>
          <w:rFonts w:ascii="Calibri" w:cs="Calibri" w:eastAsia="Calibri" w:hAnsi="Calibri"/>
          <w:b w:val="false"/>
          <w:bCs w:val="false"/>
          <w:i w:val="false"/>
          <w:iCs w:val="false"/>
          <w:color w:val="222222"/>
          <w:sz w:val="21"/>
          <w:szCs w:val="21"/>
        </w:rPr>
        <w:t xml:space="preserve"> vers l’éditeur. Avantages évoqués : accélérer l’acquisition et accéder aux bases de données des partenaires. Point d’attention : ces partenaires n’utiliseraient au départ que le volet comptabilité, sans nécessairement la finance et le scoring.</w:t>
      </w:r>
    </w:p>
    <w:p>
      <w:pPr>
        <w:pStyle w:val="Heading2"/>
        <w:spacing w:after="100" w:before="220"/>
      </w:pPr>
      <w:r>
        <w:rPr>
          <w:rFonts w:ascii="Cambria" w:cs="Cambria" w:eastAsia="Cambria" w:hAnsi="Cambria"/>
          <w:b/>
          <w:bCs/>
          <w:color w:val="0B1F3A"/>
          <w:sz w:val="23"/>
          <w:szCs w:val="23"/>
        </w:rPr>
        <w:t xml:space="preserve">2.6 Gestion des accès et des instances</w:t>
      </w:r>
    </w:p>
    <w:p>
      <w:pPr>
        <w:spacing w:after="120" w:before="0" w:line="264"/>
        <w:jc w:val="both"/>
      </w:pPr>
      <w:r>
        <w:rPr>
          <w:rFonts w:ascii="Calibri" w:cs="Calibri" w:eastAsia="Calibri" w:hAnsi="Calibri"/>
          <w:b w:val="false"/>
          <w:bCs w:val="false"/>
          <w:i w:val="false"/>
          <w:iCs w:val="false"/>
          <w:color w:val="222222"/>
          <w:sz w:val="21"/>
          <w:szCs w:val="21"/>
        </w:rPr>
        <w:t xml:space="preserve">La discussion a esquissé une </w:t>
      </w:r>
      <w:r>
        <w:rPr>
          <w:rFonts w:ascii="Calibri" w:cs="Calibri" w:eastAsia="Calibri" w:hAnsi="Calibri"/>
          <w:b/>
          <w:bCs/>
          <w:i w:val="false"/>
          <w:iCs w:val="false"/>
          <w:color w:val="222222"/>
          <w:sz w:val="21"/>
          <w:szCs w:val="21"/>
        </w:rPr>
        <w:t xml:space="preserve">hiérarchie d’accès à plusieurs niveaux</w:t>
      </w:r>
      <w:r>
        <w:rPr>
          <w:rFonts w:ascii="Calibri" w:cs="Calibri" w:eastAsia="Calibri" w:hAnsi="Calibri"/>
          <w:b w:val="false"/>
          <w:bCs w:val="false"/>
          <w:i w:val="false"/>
          <w:iCs w:val="false"/>
          <w:color w:val="222222"/>
          <w:sz w:val="21"/>
          <w:szCs w:val="21"/>
        </w:rPr>
        <w:t xml:space="preserve"> (administration / cabinet / client). L’idée d’un abonnement ouvrant un nombre limité d’instances et d’administrateurs a été évoquée (exemple mentionné : quatre instances / quatre administrateurs par compte, au-delà desquels aucun administrateur supplémentaire ne peut être créé). Les modalités exactes restent à définir.</w:t>
      </w:r>
    </w:p>
    <w:p>
      <w:pPr>
        <w:pStyle w:val="Heading2"/>
        <w:spacing w:after="100" w:before="220"/>
      </w:pPr>
      <w:r>
        <w:rPr>
          <w:rFonts w:ascii="Cambria" w:cs="Cambria" w:eastAsia="Cambria" w:hAnsi="Cambria"/>
          <w:b/>
          <w:bCs/>
          <w:color w:val="0B1F3A"/>
          <w:sz w:val="23"/>
          <w:szCs w:val="23"/>
        </w:rPr>
        <w:t xml:space="preserve">2.7 Feuille de route « paiements »</w:t>
      </w:r>
    </w:p>
    <w:p>
      <w:pPr>
        <w:spacing w:after="120" w:before="0" w:line="264"/>
        <w:jc w:val="both"/>
      </w:pPr>
      <w:r>
        <w:rPr>
          <w:rFonts w:ascii="Calibri" w:cs="Calibri" w:eastAsia="Calibri" w:hAnsi="Calibri"/>
          <w:b w:val="false"/>
          <w:bCs w:val="false"/>
          <w:i w:val="false"/>
          <w:iCs w:val="false"/>
          <w:color w:val="222222"/>
          <w:sz w:val="21"/>
          <w:szCs w:val="21"/>
        </w:rPr>
        <w:t xml:space="preserve">Un axe d’évolution a été identifié : intégrer les </w:t>
      </w:r>
      <w:r>
        <w:rPr>
          <w:rFonts w:ascii="Calibri" w:cs="Calibri" w:eastAsia="Calibri" w:hAnsi="Calibri"/>
          <w:b/>
          <w:bCs/>
          <w:i w:val="false"/>
          <w:iCs w:val="false"/>
          <w:color w:val="222222"/>
          <w:sz w:val="21"/>
          <w:szCs w:val="21"/>
        </w:rPr>
        <w:t xml:space="preserve">paiements</w:t>
      </w:r>
      <w:r>
        <w:rPr>
          <w:rFonts w:ascii="Calibri" w:cs="Calibri" w:eastAsia="Calibri" w:hAnsi="Calibri"/>
          <w:b w:val="false"/>
          <w:bCs w:val="false"/>
          <w:i w:val="false"/>
          <w:iCs w:val="false"/>
          <w:color w:val="222222"/>
          <w:sz w:val="21"/>
          <w:szCs w:val="21"/>
        </w:rPr>
        <w:t xml:space="preserve"> à partir des factures (lorsqu’une facture d’achat est enregistrée, déclencher/rapprocher le paiement correspondant ; côté vente, constater l’encaissement). L’approche retenue est </w:t>
      </w:r>
      <w:r>
        <w:rPr>
          <w:rFonts w:ascii="Calibri" w:cs="Calibri" w:eastAsia="Calibri" w:hAnsi="Calibri"/>
          <w:b/>
          <w:bCs/>
          <w:i w:val="false"/>
          <w:iCs w:val="false"/>
          <w:color w:val="222222"/>
          <w:sz w:val="21"/>
          <w:szCs w:val="21"/>
        </w:rPr>
        <w:t xml:space="preserve">progressive</w:t>
      </w:r>
      <w:r>
        <w:rPr>
          <w:rFonts w:ascii="Calibri" w:cs="Calibri" w:eastAsia="Calibri" w:hAnsi="Calibri"/>
          <w:b w:val="false"/>
          <w:bCs w:val="false"/>
          <w:i w:val="false"/>
          <w:iCs w:val="false"/>
          <w:color w:val="222222"/>
          <w:sz w:val="21"/>
          <w:szCs w:val="21"/>
        </w:rPr>
        <w:t xml:space="preserve"> : commencer par un dispositif de paiement simple sans devenir établissement bancaire, puis, une fois éprouvé, envisager l’intégration bancaire complète. Il a été demandé de </w:t>
      </w:r>
      <w:r>
        <w:rPr>
          <w:rFonts w:ascii="Calibri" w:cs="Calibri" w:eastAsia="Calibri" w:hAnsi="Calibri"/>
          <w:b/>
          <w:bCs/>
          <w:i w:val="false"/>
          <w:iCs w:val="false"/>
          <w:color w:val="222222"/>
          <w:sz w:val="21"/>
          <w:szCs w:val="21"/>
        </w:rPr>
        <w:t xml:space="preserve">recenser les éléments nécessaires à un dossier d’agrément « paiement »</w:t>
      </w:r>
      <w:r>
        <w:rPr>
          <w:rFonts w:ascii="Calibri" w:cs="Calibri" w:eastAsia="Calibri" w:hAnsi="Calibri"/>
          <w:b w:val="false"/>
          <w:bCs w:val="false"/>
          <w:i w:val="false"/>
          <w:iCs w:val="false"/>
          <w:color w:val="222222"/>
          <w:sz w:val="21"/>
          <w:szCs w:val="21"/>
        </w:rPr>
        <w:t xml:space="preserve"> et d’étudier les plateformes existantes.</w:t>
      </w:r>
    </w:p>
    <w:p>
      <w:pPr>
        <w:pStyle w:val="Heading2"/>
        <w:spacing w:after="100" w:before="220"/>
      </w:pPr>
      <w:r>
        <w:rPr>
          <w:rFonts w:ascii="Cambria" w:cs="Cambria" w:eastAsia="Cambria" w:hAnsi="Cambria"/>
          <w:b/>
          <w:bCs/>
          <w:color w:val="0B1F3A"/>
          <w:sz w:val="23"/>
          <w:szCs w:val="23"/>
        </w:rPr>
        <w:t xml:space="preserve">2.8 Gestion de trésorerie « réelle »</w:t>
      </w:r>
    </w:p>
    <w:p>
      <w:pPr>
        <w:spacing w:after="120" w:before="0" w:line="264"/>
        <w:jc w:val="both"/>
      </w:pPr>
      <w:r>
        <w:rPr>
          <w:rFonts w:ascii="Calibri" w:cs="Calibri" w:eastAsia="Calibri" w:hAnsi="Calibri"/>
          <w:b w:val="false"/>
          <w:bCs w:val="false"/>
          <w:i w:val="false"/>
          <w:iCs w:val="false"/>
          <w:color w:val="222222"/>
          <w:sz w:val="21"/>
          <w:szCs w:val="21"/>
        </w:rPr>
        <w:t xml:space="preserve">Un ajustement important a été identifié sur le module de trésorerie : la trésorerie présentée aujourd’hui est </w:t>
      </w:r>
      <w:r>
        <w:rPr>
          <w:rFonts w:ascii="Calibri" w:cs="Calibri" w:eastAsia="Calibri" w:hAnsi="Calibri"/>
          <w:b/>
          <w:bCs/>
          <w:i w:val="false"/>
          <w:iCs w:val="false"/>
          <w:color w:val="222222"/>
          <w:sz w:val="21"/>
          <w:szCs w:val="21"/>
        </w:rPr>
        <w:t xml:space="preserve">théorique</w:t>
      </w:r>
      <w:r>
        <w:rPr>
          <w:rFonts w:ascii="Calibri" w:cs="Calibri" w:eastAsia="Calibri" w:hAnsi="Calibri"/>
          <w:b w:val="false"/>
          <w:bCs w:val="false"/>
          <w:i w:val="false"/>
          <w:iCs w:val="false"/>
          <w:color w:val="222222"/>
          <w:sz w:val="21"/>
          <w:szCs w:val="21"/>
        </w:rPr>
        <w:t xml:space="preserve"> et ne reflète pas la trésorerie réellement disponible en banque. L’exemple donné : un chèque scanné est immédiatement comptabilisé comme encaissé, alors que la banque ne crédite les fonds qu’après un délai (dates de valeur, jours de banque). Pour présenter une trésorerie réelle, il faut </w:t>
      </w:r>
      <w:r>
        <w:rPr>
          <w:rFonts w:ascii="Calibri" w:cs="Calibri" w:eastAsia="Calibri" w:hAnsi="Calibri"/>
          <w:b/>
          <w:bCs/>
          <w:i w:val="false"/>
          <w:iCs w:val="false"/>
          <w:color w:val="222222"/>
          <w:sz w:val="21"/>
          <w:szCs w:val="21"/>
        </w:rPr>
        <w:t xml:space="preserve">intégrer les conditions bancaires du client</w:t>
      </w:r>
      <w:r>
        <w:rPr>
          <w:rFonts w:ascii="Calibri" w:cs="Calibri" w:eastAsia="Calibri" w:hAnsi="Calibri"/>
          <w:b w:val="false"/>
          <w:bCs w:val="false"/>
          <w:i w:val="false"/>
          <w:iCs w:val="false"/>
          <w:color w:val="222222"/>
          <w:sz w:val="21"/>
          <w:szCs w:val="21"/>
        </w:rPr>
        <w:t xml:space="preserve"> (délais d’encaissement des chèques, dates de valeur) et distinguer plan de financement, flux de trésorerie et trésorerie réelle au jour le jour. Un </w:t>
      </w:r>
      <w:r>
        <w:rPr>
          <w:rFonts w:ascii="Calibri" w:cs="Calibri" w:eastAsia="Calibri" w:hAnsi="Calibri"/>
          <w:b/>
          <w:bCs/>
          <w:i w:val="false"/>
          <w:iCs w:val="false"/>
          <w:color w:val="222222"/>
          <w:sz w:val="21"/>
          <w:szCs w:val="21"/>
        </w:rPr>
        <w:t xml:space="preserve">modèle Excel d’ajustement</w:t>
      </w:r>
      <w:r>
        <w:rPr>
          <w:rFonts w:ascii="Calibri" w:cs="Calibri" w:eastAsia="Calibri" w:hAnsi="Calibri"/>
          <w:b w:val="false"/>
          <w:bCs w:val="false"/>
          <w:i w:val="false"/>
          <w:iCs w:val="false"/>
          <w:color w:val="222222"/>
          <w:sz w:val="21"/>
          <w:szCs w:val="21"/>
        </w:rPr>
        <w:t xml:space="preserve"> doit être préparé pour intégrer rapidement ces éléments.</w:t>
      </w:r>
    </w:p>
    <w:p>
      <w:pPr>
        <w:pStyle w:val="Heading1"/>
        <w:pBdr>
          <w:bottom w:val="single" w:color="C8A24B" w:sz="14" w:space="6"/>
        </w:pBdr>
        <w:spacing w:after="140" w:before="300"/>
      </w:pPr>
      <w:r>
        <w:rPr>
          <w:rFonts w:ascii="Cambria" w:cs="Cambria" w:eastAsia="Cambria" w:hAnsi="Cambria"/>
          <w:b/>
          <w:bCs/>
          <w:color w:val="0B1F3A"/>
          <w:sz w:val="27"/>
          <w:szCs w:val="27"/>
        </w:rPr>
        <w:t xml:space="preserve">3. Décisions prises</w:t>
      </w:r>
    </w:p>
    <w:tbl>
      <w:tblPr>
        <w:tblW w:type="dxa" w:w="9360"/>
        <w:tblBorders>
          <w:top w:val="single" w:color="AAB0B8" w:sz="4"/>
          <w:left w:val="single" w:color="AAB0B8" w:sz="4"/>
          <w:bottom w:val="single" w:color="AAB0B8" w:sz="4"/>
          <w:right w:val="single" w:color="AAB0B8" w:sz="4"/>
          <w:insideH w:val="single" w:color="C9CDD3" w:sz="4"/>
          <w:insideV w:val="single" w:color="C9CDD3" w:sz="4"/>
        </w:tblBorders>
      </w:tblPr>
      <w:tblGrid>
        <w:gridCol w:w="700"/>
        <w:gridCol w:w="6100"/>
        <w:gridCol w:w="2560"/>
      </w:tblGrid>
      <w:tr>
        <w:trPr>
          <w:tblHeader/>
        </w:trPr>
        <w:tc>
          <w:tcPr>
            <w:tcW w:type="dxa" w:w="700"/>
            <w:shd w:fill="0B1F3A" w:color="auto" w:val="clear"/>
            <w:tcMar>
              <w:top w:type="dxa" w:w="60"/>
              <w:left w:type="dxa" w:w="100"/>
              <w:bottom w:type="dxa" w:w="60"/>
              <w:right w:type="dxa" w:w="100"/>
            </w:tcMar>
            <w:vAlign w:val="center"/>
          </w:tcPr>
          <w:p>
            <w:pPr>
              <w:spacing w:after="20" w:before="0" w:line="236"/>
              <w:jc w:val="left"/>
            </w:pPr>
            <w:r>
              <w:rPr>
                <w:rFonts w:ascii="Calibri" w:cs="Calibri" w:eastAsia="Calibri" w:hAnsi="Calibri"/>
                <w:b/>
                <w:bCs/>
                <w:i w:val="false"/>
                <w:iCs w:val="false"/>
                <w:color w:val="FFFFFF"/>
                <w:sz w:val="18"/>
                <w:szCs w:val="18"/>
              </w:rPr>
              <w:t xml:space="preserve">N°</w:t>
            </w:r>
          </w:p>
        </w:tc>
        <w:tc>
          <w:tcPr>
            <w:tcW w:type="dxa" w:w="6100"/>
            <w:shd w:fill="0B1F3A" w:color="auto" w:val="clear"/>
            <w:tcMar>
              <w:top w:type="dxa" w:w="60"/>
              <w:left w:type="dxa" w:w="100"/>
              <w:bottom w:type="dxa" w:w="60"/>
              <w:right w:type="dxa" w:w="100"/>
            </w:tcMar>
            <w:vAlign w:val="center"/>
          </w:tcPr>
          <w:p>
            <w:pPr>
              <w:spacing w:after="20" w:before="0" w:line="236"/>
              <w:jc w:val="left"/>
            </w:pPr>
            <w:r>
              <w:rPr>
                <w:rFonts w:ascii="Calibri" w:cs="Calibri" w:eastAsia="Calibri" w:hAnsi="Calibri"/>
                <w:b/>
                <w:bCs/>
                <w:i w:val="false"/>
                <w:iCs w:val="false"/>
                <w:color w:val="FFFFFF"/>
                <w:sz w:val="18"/>
                <w:szCs w:val="18"/>
              </w:rPr>
              <w:t xml:space="preserve">Décision</w:t>
            </w:r>
          </w:p>
        </w:tc>
        <w:tc>
          <w:tcPr>
            <w:tcW w:type="dxa" w:w="2560"/>
            <w:shd w:fill="0B1F3A" w:color="auto" w:val="clear"/>
            <w:tcMar>
              <w:top w:type="dxa" w:w="60"/>
              <w:left w:type="dxa" w:w="100"/>
              <w:bottom w:type="dxa" w:w="60"/>
              <w:right w:type="dxa" w:w="100"/>
            </w:tcMar>
            <w:vAlign w:val="center"/>
          </w:tcPr>
          <w:p>
            <w:pPr>
              <w:spacing w:after="20" w:before="0" w:line="236"/>
              <w:jc w:val="left"/>
            </w:pPr>
            <w:r>
              <w:rPr>
                <w:rFonts w:ascii="Calibri" w:cs="Calibri" w:eastAsia="Calibri" w:hAnsi="Calibri"/>
                <w:b/>
                <w:bCs/>
                <w:i w:val="false"/>
                <w:iCs w:val="false"/>
                <w:color w:val="FFFFFF"/>
                <w:sz w:val="18"/>
                <w:szCs w:val="18"/>
              </w:rPr>
              <w:t xml:space="preserve">Portée</w:t>
            </w:r>
          </w:p>
        </w:tc>
      </w:tr>
      <w:tr>
        <w:tc>
          <w:tcPr>
            <w:tcW w:type="dxa" w:w="700"/>
            <w:shd w:fill="F2F3F5" w:color="auto" w:val="clear"/>
            <w:tcMar>
              <w:top w:type="dxa" w:w="60"/>
              <w:left w:type="dxa" w:w="100"/>
              <w:bottom w:type="dxa" w:w="60"/>
              <w:right w:type="dxa" w:w="100"/>
            </w:tcMar>
            <w:vAlign w:val="center"/>
          </w:tcPr>
          <w:p>
            <w:pPr>
              <w:spacing w:after="20" w:before="0" w:line="236"/>
              <w:jc w:val="left"/>
            </w:pPr>
            <w:r>
              <w:rPr>
                <w:rFonts w:ascii="Calibri" w:cs="Calibri" w:eastAsia="Calibri" w:hAnsi="Calibri"/>
                <w:b/>
                <w:bCs/>
                <w:i w:val="false"/>
                <w:iCs w:val="false"/>
                <w:color w:val="222222"/>
                <w:sz w:val="18"/>
                <w:szCs w:val="18"/>
              </w:rPr>
              <w:t xml:space="preserve">D1</w:t>
            </w:r>
          </w:p>
        </w:tc>
        <w:tc>
          <w:tcPr>
            <w:tcW w:type="dxa" w:w="6100"/>
            <w:tcMar>
              <w:top w:type="dxa" w:w="60"/>
              <w:left w:type="dxa" w:w="100"/>
              <w:bottom w:type="dxa" w:w="60"/>
              <w:right w:type="dxa" w:w="100"/>
            </w:tcMar>
            <w:vAlign w:val="center"/>
          </w:tcPr>
          <w:p>
            <w:pPr>
              <w:spacing w:after="20" w:before="0" w:line="236"/>
              <w:jc w:val="left"/>
            </w:pPr>
            <w:r>
              <w:rPr>
                <w:rFonts w:ascii="Calibri" w:cs="Calibri" w:eastAsia="Calibri" w:hAnsi="Calibri"/>
                <w:b w:val="false"/>
                <w:bCs w:val="false"/>
                <w:i w:val="false"/>
                <w:iCs w:val="false"/>
                <w:color w:val="222222"/>
                <w:sz w:val="18"/>
                <w:szCs w:val="18"/>
              </w:rPr>
              <w:t xml:space="preserve">Rendre la validation des factures automatique une fois le filtre de qualité franchi, plutôt que de la laisser au client.</w:t>
            </w:r>
          </w:p>
        </w:tc>
        <w:tc>
          <w:tcPr>
            <w:tcW w:type="dxa" w:w="2560"/>
            <w:tcMar>
              <w:top w:type="dxa" w:w="60"/>
              <w:left w:type="dxa" w:w="100"/>
              <w:bottom w:type="dxa" w:w="60"/>
              <w:right w:type="dxa" w:w="100"/>
            </w:tcMar>
            <w:vAlign w:val="center"/>
          </w:tcPr>
          <w:p>
            <w:pPr>
              <w:spacing w:after="20" w:before="0" w:line="236"/>
              <w:jc w:val="left"/>
            </w:pPr>
            <w:r>
              <w:rPr>
                <w:rFonts w:ascii="Calibri" w:cs="Calibri" w:eastAsia="Calibri" w:hAnsi="Calibri"/>
                <w:b w:val="false"/>
                <w:bCs w:val="false"/>
                <w:i w:val="false"/>
                <w:iCs w:val="false"/>
                <w:color w:val="222222"/>
                <w:sz w:val="18"/>
                <w:szCs w:val="18"/>
              </w:rPr>
              <w:t xml:space="preserve">Produit / Comptabilité</w:t>
            </w:r>
          </w:p>
        </w:tc>
      </w:tr>
      <w:tr>
        <w:tc>
          <w:tcPr>
            <w:tcW w:type="dxa" w:w="700"/>
            <w:shd w:fill="F2F3F5" w:color="auto" w:val="clear"/>
            <w:tcMar>
              <w:top w:type="dxa" w:w="60"/>
              <w:left w:type="dxa" w:w="100"/>
              <w:bottom w:type="dxa" w:w="60"/>
              <w:right w:type="dxa" w:w="100"/>
            </w:tcMar>
            <w:vAlign w:val="center"/>
          </w:tcPr>
          <w:p>
            <w:pPr>
              <w:spacing w:after="20" w:before="0" w:line="236"/>
              <w:jc w:val="left"/>
            </w:pPr>
            <w:r>
              <w:rPr>
                <w:rFonts w:ascii="Calibri" w:cs="Calibri" w:eastAsia="Calibri" w:hAnsi="Calibri"/>
                <w:b/>
                <w:bCs/>
                <w:i w:val="false"/>
                <w:iCs w:val="false"/>
                <w:color w:val="222222"/>
                <w:sz w:val="18"/>
                <w:szCs w:val="18"/>
              </w:rPr>
              <w:t xml:space="preserve">D2</w:t>
            </w:r>
          </w:p>
        </w:tc>
        <w:tc>
          <w:tcPr>
            <w:tcW w:type="dxa" w:w="6100"/>
            <w:tcMar>
              <w:top w:type="dxa" w:w="60"/>
              <w:left w:type="dxa" w:w="100"/>
              <w:bottom w:type="dxa" w:w="60"/>
              <w:right w:type="dxa" w:w="100"/>
            </w:tcMar>
            <w:vAlign w:val="center"/>
          </w:tcPr>
          <w:p>
            <w:pPr>
              <w:spacing w:after="20" w:before="0" w:line="236"/>
              <w:jc w:val="left"/>
            </w:pPr>
            <w:r>
              <w:rPr>
                <w:rFonts w:ascii="Calibri" w:cs="Calibri" w:eastAsia="Calibri" w:hAnsi="Calibri"/>
                <w:b w:val="false"/>
                <w:bCs w:val="false"/>
                <w:i w:val="false"/>
                <w:iCs w:val="false"/>
                <w:color w:val="222222"/>
                <w:sz w:val="18"/>
                <w:szCs w:val="18"/>
              </w:rPr>
              <w:t xml:space="preserve">Mettre en place un filtre de qualité à la saisie contrôlant les informations obligatoires (n° de pièce, dates, identités).</w:t>
            </w:r>
          </w:p>
        </w:tc>
        <w:tc>
          <w:tcPr>
            <w:tcW w:type="dxa" w:w="2560"/>
            <w:tcMar>
              <w:top w:type="dxa" w:w="60"/>
              <w:left w:type="dxa" w:w="100"/>
              <w:bottom w:type="dxa" w:w="60"/>
              <w:right w:type="dxa" w:w="100"/>
            </w:tcMar>
            <w:vAlign w:val="center"/>
          </w:tcPr>
          <w:p>
            <w:pPr>
              <w:spacing w:after="20" w:before="0" w:line="236"/>
              <w:jc w:val="left"/>
            </w:pPr>
            <w:r>
              <w:rPr>
                <w:rFonts w:ascii="Calibri" w:cs="Calibri" w:eastAsia="Calibri" w:hAnsi="Calibri"/>
                <w:b w:val="false"/>
                <w:bCs w:val="false"/>
                <w:i w:val="false"/>
                <w:iCs w:val="false"/>
                <w:color w:val="222222"/>
                <w:sz w:val="18"/>
                <w:szCs w:val="18"/>
              </w:rPr>
              <w:t xml:space="preserve">Produit</w:t>
            </w:r>
          </w:p>
        </w:tc>
      </w:tr>
      <w:tr>
        <w:tc>
          <w:tcPr>
            <w:tcW w:type="dxa" w:w="700"/>
            <w:shd w:fill="F2F3F5" w:color="auto" w:val="clear"/>
            <w:tcMar>
              <w:top w:type="dxa" w:w="60"/>
              <w:left w:type="dxa" w:w="100"/>
              <w:bottom w:type="dxa" w:w="60"/>
              <w:right w:type="dxa" w:w="100"/>
            </w:tcMar>
            <w:vAlign w:val="center"/>
          </w:tcPr>
          <w:p>
            <w:pPr>
              <w:spacing w:after="20" w:before="0" w:line="236"/>
              <w:jc w:val="left"/>
            </w:pPr>
            <w:r>
              <w:rPr>
                <w:rFonts w:ascii="Calibri" w:cs="Calibri" w:eastAsia="Calibri" w:hAnsi="Calibri"/>
                <w:b/>
                <w:bCs/>
                <w:i w:val="false"/>
                <w:iCs w:val="false"/>
                <w:color w:val="222222"/>
                <w:sz w:val="18"/>
                <w:szCs w:val="18"/>
              </w:rPr>
              <w:t xml:space="preserve">D3</w:t>
            </w:r>
          </w:p>
        </w:tc>
        <w:tc>
          <w:tcPr>
            <w:tcW w:type="dxa" w:w="6100"/>
            <w:tcMar>
              <w:top w:type="dxa" w:w="60"/>
              <w:left w:type="dxa" w:w="100"/>
              <w:bottom w:type="dxa" w:w="60"/>
              <w:right w:type="dxa" w:w="100"/>
            </w:tcMar>
            <w:vAlign w:val="center"/>
          </w:tcPr>
          <w:p>
            <w:pPr>
              <w:spacing w:after="20" w:before="0" w:line="236"/>
              <w:jc w:val="left"/>
            </w:pPr>
            <w:r>
              <w:rPr>
                <w:rFonts w:ascii="Calibri" w:cs="Calibri" w:eastAsia="Calibri" w:hAnsi="Calibri"/>
                <w:b w:val="false"/>
                <w:bCs w:val="false"/>
                <w:i w:val="false"/>
                <w:iCs w:val="false"/>
                <w:color w:val="222222"/>
                <w:sz w:val="18"/>
                <w:szCs w:val="18"/>
              </w:rPr>
              <w:t xml:space="preserve">Étudier l’ajout d’une IA de vérification en appui des comptables pour réduire la charge de contrôle.</w:t>
            </w:r>
          </w:p>
        </w:tc>
        <w:tc>
          <w:tcPr>
            <w:tcW w:type="dxa" w:w="2560"/>
            <w:tcMar>
              <w:top w:type="dxa" w:w="60"/>
              <w:left w:type="dxa" w:w="100"/>
              <w:bottom w:type="dxa" w:w="60"/>
              <w:right w:type="dxa" w:w="100"/>
            </w:tcMar>
            <w:vAlign w:val="center"/>
          </w:tcPr>
          <w:p>
            <w:pPr>
              <w:spacing w:after="20" w:before="0" w:line="236"/>
              <w:jc w:val="left"/>
            </w:pPr>
            <w:r>
              <w:rPr>
                <w:rFonts w:ascii="Calibri" w:cs="Calibri" w:eastAsia="Calibri" w:hAnsi="Calibri"/>
                <w:b w:val="false"/>
                <w:bCs w:val="false"/>
                <w:i w:val="false"/>
                <w:iCs w:val="false"/>
                <w:color w:val="222222"/>
                <w:sz w:val="18"/>
                <w:szCs w:val="18"/>
              </w:rPr>
              <w:t xml:space="preserve">Produit / R&amp;D</w:t>
            </w:r>
          </w:p>
        </w:tc>
      </w:tr>
      <w:tr>
        <w:tc>
          <w:tcPr>
            <w:tcW w:type="dxa" w:w="700"/>
            <w:shd w:fill="F2F3F5" w:color="auto" w:val="clear"/>
            <w:tcMar>
              <w:top w:type="dxa" w:w="60"/>
              <w:left w:type="dxa" w:w="100"/>
              <w:bottom w:type="dxa" w:w="60"/>
              <w:right w:type="dxa" w:w="100"/>
            </w:tcMar>
            <w:vAlign w:val="center"/>
          </w:tcPr>
          <w:p>
            <w:pPr>
              <w:spacing w:after="20" w:before="0" w:line="236"/>
              <w:jc w:val="left"/>
            </w:pPr>
            <w:r>
              <w:rPr>
                <w:rFonts w:ascii="Calibri" w:cs="Calibri" w:eastAsia="Calibri" w:hAnsi="Calibri"/>
                <w:b/>
                <w:bCs/>
                <w:i w:val="false"/>
                <w:iCs w:val="false"/>
                <w:color w:val="222222"/>
                <w:sz w:val="18"/>
                <w:szCs w:val="18"/>
              </w:rPr>
              <w:t xml:space="preserve">D4</w:t>
            </w:r>
          </w:p>
        </w:tc>
        <w:tc>
          <w:tcPr>
            <w:tcW w:type="dxa" w:w="6100"/>
            <w:tcMar>
              <w:top w:type="dxa" w:w="60"/>
              <w:left w:type="dxa" w:w="100"/>
              <w:bottom w:type="dxa" w:w="60"/>
              <w:right w:type="dxa" w:w="100"/>
            </w:tcMar>
            <w:vAlign w:val="center"/>
          </w:tcPr>
          <w:p>
            <w:pPr>
              <w:spacing w:after="20" w:before="0" w:line="236"/>
              <w:jc w:val="left"/>
            </w:pPr>
            <w:r>
              <w:rPr>
                <w:rFonts w:ascii="Calibri" w:cs="Calibri" w:eastAsia="Calibri" w:hAnsi="Calibri"/>
                <w:b w:val="false"/>
                <w:bCs w:val="false"/>
                <w:i w:val="false"/>
                <w:iCs w:val="false"/>
                <w:color w:val="222222"/>
                <w:sz w:val="18"/>
                <w:szCs w:val="18"/>
              </w:rPr>
              <w:t xml:space="preserve">Instaurer un contrôle qualité périodique (trimestriel) des données par entreprise, condition de fiabilité du scoring.</w:t>
            </w:r>
          </w:p>
        </w:tc>
        <w:tc>
          <w:tcPr>
            <w:tcW w:type="dxa" w:w="2560"/>
            <w:tcMar>
              <w:top w:type="dxa" w:w="60"/>
              <w:left w:type="dxa" w:w="100"/>
              <w:bottom w:type="dxa" w:w="60"/>
              <w:right w:type="dxa" w:w="100"/>
            </w:tcMar>
            <w:vAlign w:val="center"/>
          </w:tcPr>
          <w:p>
            <w:pPr>
              <w:spacing w:after="20" w:before="0" w:line="236"/>
              <w:jc w:val="left"/>
            </w:pPr>
            <w:r>
              <w:rPr>
                <w:rFonts w:ascii="Calibri" w:cs="Calibri" w:eastAsia="Calibri" w:hAnsi="Calibri"/>
                <w:b w:val="false"/>
                <w:bCs w:val="false"/>
                <w:i w:val="false"/>
                <w:iCs w:val="false"/>
                <w:color w:val="222222"/>
                <w:sz w:val="18"/>
                <w:szCs w:val="18"/>
              </w:rPr>
              <w:t xml:space="preserve">Comptabilité</w:t>
            </w:r>
          </w:p>
        </w:tc>
      </w:tr>
      <w:tr>
        <w:tc>
          <w:tcPr>
            <w:tcW w:type="dxa" w:w="700"/>
            <w:shd w:fill="F2F3F5" w:color="auto" w:val="clear"/>
            <w:tcMar>
              <w:top w:type="dxa" w:w="60"/>
              <w:left w:type="dxa" w:w="100"/>
              <w:bottom w:type="dxa" w:w="60"/>
              <w:right w:type="dxa" w:w="100"/>
            </w:tcMar>
            <w:vAlign w:val="center"/>
          </w:tcPr>
          <w:p>
            <w:pPr>
              <w:spacing w:after="20" w:before="0" w:line="236"/>
              <w:jc w:val="left"/>
            </w:pPr>
            <w:r>
              <w:rPr>
                <w:rFonts w:ascii="Calibri" w:cs="Calibri" w:eastAsia="Calibri" w:hAnsi="Calibri"/>
                <w:b/>
                <w:bCs/>
                <w:i w:val="false"/>
                <w:iCs w:val="false"/>
                <w:color w:val="222222"/>
                <w:sz w:val="18"/>
                <w:szCs w:val="18"/>
              </w:rPr>
              <w:t xml:space="preserve">D5</w:t>
            </w:r>
          </w:p>
        </w:tc>
        <w:tc>
          <w:tcPr>
            <w:tcW w:type="dxa" w:w="6100"/>
            <w:tcMar>
              <w:top w:type="dxa" w:w="60"/>
              <w:left w:type="dxa" w:w="100"/>
              <w:bottom w:type="dxa" w:w="60"/>
              <w:right w:type="dxa" w:w="100"/>
            </w:tcMar>
            <w:vAlign w:val="center"/>
          </w:tcPr>
          <w:p>
            <w:pPr>
              <w:spacing w:after="20" w:before="0" w:line="236"/>
              <w:jc w:val="left"/>
            </w:pPr>
            <w:r>
              <w:rPr>
                <w:rFonts w:ascii="Calibri" w:cs="Calibri" w:eastAsia="Calibri" w:hAnsi="Calibri"/>
                <w:b w:val="false"/>
                <w:bCs w:val="false"/>
                <w:i w:val="false"/>
                <w:iCs w:val="false"/>
                <w:color w:val="222222"/>
                <w:sz w:val="18"/>
                <w:szCs w:val="18"/>
              </w:rPr>
              <w:t xml:space="preserve">Retenir le principe d’un modèle « cabinets partenaires » (licence + centralisation des données), à approfondir.</w:t>
            </w:r>
          </w:p>
        </w:tc>
        <w:tc>
          <w:tcPr>
            <w:tcW w:type="dxa" w:w="2560"/>
            <w:tcMar>
              <w:top w:type="dxa" w:w="60"/>
              <w:left w:type="dxa" w:w="100"/>
              <w:bottom w:type="dxa" w:w="60"/>
              <w:right w:type="dxa" w:w="100"/>
            </w:tcMar>
            <w:vAlign w:val="center"/>
          </w:tcPr>
          <w:p>
            <w:pPr>
              <w:spacing w:after="20" w:before="0" w:line="236"/>
              <w:jc w:val="left"/>
            </w:pPr>
            <w:r>
              <w:rPr>
                <w:rFonts w:ascii="Calibri" w:cs="Calibri" w:eastAsia="Calibri" w:hAnsi="Calibri"/>
                <w:b w:val="false"/>
                <w:bCs w:val="false"/>
                <w:i w:val="false"/>
                <w:iCs w:val="false"/>
                <w:color w:val="222222"/>
                <w:sz w:val="18"/>
                <w:szCs w:val="18"/>
              </w:rPr>
              <w:t xml:space="preserve">Stratégie</w:t>
            </w:r>
          </w:p>
        </w:tc>
      </w:tr>
      <w:tr>
        <w:tc>
          <w:tcPr>
            <w:tcW w:type="dxa" w:w="700"/>
            <w:shd w:fill="F2F3F5" w:color="auto" w:val="clear"/>
            <w:tcMar>
              <w:top w:type="dxa" w:w="60"/>
              <w:left w:type="dxa" w:w="100"/>
              <w:bottom w:type="dxa" w:w="60"/>
              <w:right w:type="dxa" w:w="100"/>
            </w:tcMar>
            <w:vAlign w:val="center"/>
          </w:tcPr>
          <w:p>
            <w:pPr>
              <w:spacing w:after="20" w:before="0" w:line="236"/>
              <w:jc w:val="left"/>
            </w:pPr>
            <w:r>
              <w:rPr>
                <w:rFonts w:ascii="Calibri" w:cs="Calibri" w:eastAsia="Calibri" w:hAnsi="Calibri"/>
                <w:b/>
                <w:bCs/>
                <w:i w:val="false"/>
                <w:iCs w:val="false"/>
                <w:color w:val="222222"/>
                <w:sz w:val="18"/>
                <w:szCs w:val="18"/>
              </w:rPr>
              <w:t xml:space="preserve">D6</w:t>
            </w:r>
          </w:p>
        </w:tc>
        <w:tc>
          <w:tcPr>
            <w:tcW w:type="dxa" w:w="6100"/>
            <w:tcMar>
              <w:top w:type="dxa" w:w="60"/>
              <w:left w:type="dxa" w:w="100"/>
              <w:bottom w:type="dxa" w:w="60"/>
              <w:right w:type="dxa" w:w="100"/>
            </w:tcMar>
            <w:vAlign w:val="center"/>
          </w:tcPr>
          <w:p>
            <w:pPr>
              <w:spacing w:after="20" w:before="0" w:line="236"/>
              <w:jc w:val="left"/>
            </w:pPr>
            <w:r>
              <w:rPr>
                <w:rFonts w:ascii="Calibri" w:cs="Calibri" w:eastAsia="Calibri" w:hAnsi="Calibri"/>
                <w:b w:val="false"/>
                <w:bCs w:val="false"/>
                <w:i w:val="false"/>
                <w:iCs w:val="false"/>
                <w:color w:val="222222"/>
                <w:sz w:val="18"/>
                <w:szCs w:val="18"/>
              </w:rPr>
              <w:t xml:space="preserve">Adopter une approche progressive sur les paiements : dispositif simple d’abord, intégration bancaire ensuite.</w:t>
            </w:r>
          </w:p>
        </w:tc>
        <w:tc>
          <w:tcPr>
            <w:tcW w:type="dxa" w:w="2560"/>
            <w:tcMar>
              <w:top w:type="dxa" w:w="60"/>
              <w:left w:type="dxa" w:w="100"/>
              <w:bottom w:type="dxa" w:w="60"/>
              <w:right w:type="dxa" w:w="100"/>
            </w:tcMar>
            <w:vAlign w:val="center"/>
          </w:tcPr>
          <w:p>
            <w:pPr>
              <w:spacing w:after="20" w:before="0" w:line="236"/>
              <w:jc w:val="left"/>
            </w:pPr>
            <w:r>
              <w:rPr>
                <w:rFonts w:ascii="Calibri" w:cs="Calibri" w:eastAsia="Calibri" w:hAnsi="Calibri"/>
                <w:b w:val="false"/>
                <w:bCs w:val="false"/>
                <w:i w:val="false"/>
                <w:iCs w:val="false"/>
                <w:color w:val="222222"/>
                <w:sz w:val="18"/>
                <w:szCs w:val="18"/>
              </w:rPr>
              <w:t xml:space="preserve">Stratégie / Produit</w:t>
            </w:r>
          </w:p>
        </w:tc>
      </w:tr>
      <w:tr>
        <w:tc>
          <w:tcPr>
            <w:tcW w:type="dxa" w:w="700"/>
            <w:shd w:fill="F2F3F5" w:color="auto" w:val="clear"/>
            <w:tcMar>
              <w:top w:type="dxa" w:w="60"/>
              <w:left w:type="dxa" w:w="100"/>
              <w:bottom w:type="dxa" w:w="60"/>
              <w:right w:type="dxa" w:w="100"/>
            </w:tcMar>
            <w:vAlign w:val="center"/>
          </w:tcPr>
          <w:p>
            <w:pPr>
              <w:spacing w:after="20" w:before="0" w:line="236"/>
              <w:jc w:val="left"/>
            </w:pPr>
            <w:r>
              <w:rPr>
                <w:rFonts w:ascii="Calibri" w:cs="Calibri" w:eastAsia="Calibri" w:hAnsi="Calibri"/>
                <w:b/>
                <w:bCs/>
                <w:i w:val="false"/>
                <w:iCs w:val="false"/>
                <w:color w:val="222222"/>
                <w:sz w:val="18"/>
                <w:szCs w:val="18"/>
              </w:rPr>
              <w:t xml:space="preserve">D7</w:t>
            </w:r>
          </w:p>
        </w:tc>
        <w:tc>
          <w:tcPr>
            <w:tcW w:type="dxa" w:w="6100"/>
            <w:tcMar>
              <w:top w:type="dxa" w:w="60"/>
              <w:left w:type="dxa" w:w="100"/>
              <w:bottom w:type="dxa" w:w="60"/>
              <w:right w:type="dxa" w:w="100"/>
            </w:tcMar>
            <w:vAlign w:val="center"/>
          </w:tcPr>
          <w:p>
            <w:pPr>
              <w:spacing w:after="20" w:before="0" w:line="236"/>
              <w:jc w:val="left"/>
            </w:pPr>
            <w:r>
              <w:rPr>
                <w:rFonts w:ascii="Calibri" w:cs="Calibri" w:eastAsia="Calibri" w:hAnsi="Calibri"/>
                <w:b w:val="false"/>
                <w:bCs w:val="false"/>
                <w:i w:val="false"/>
                <w:iCs w:val="false"/>
                <w:color w:val="222222"/>
                <w:sz w:val="18"/>
                <w:szCs w:val="18"/>
              </w:rPr>
              <w:t xml:space="preserve">Corriger le module de trésorerie pour présenter une trésorerie réelle intégrant les conditions bancaires.</w:t>
            </w:r>
          </w:p>
        </w:tc>
        <w:tc>
          <w:tcPr>
            <w:tcW w:type="dxa" w:w="2560"/>
            <w:tcMar>
              <w:top w:type="dxa" w:w="60"/>
              <w:left w:type="dxa" w:w="100"/>
              <w:bottom w:type="dxa" w:w="60"/>
              <w:right w:type="dxa" w:w="100"/>
            </w:tcMar>
            <w:vAlign w:val="center"/>
          </w:tcPr>
          <w:p>
            <w:pPr>
              <w:spacing w:after="20" w:before="0" w:line="236"/>
              <w:jc w:val="left"/>
            </w:pPr>
            <w:r>
              <w:rPr>
                <w:rFonts w:ascii="Calibri" w:cs="Calibri" w:eastAsia="Calibri" w:hAnsi="Calibri"/>
                <w:b w:val="false"/>
                <w:bCs w:val="false"/>
                <w:i w:val="false"/>
                <w:iCs w:val="false"/>
                <w:color w:val="222222"/>
                <w:sz w:val="18"/>
                <w:szCs w:val="18"/>
              </w:rPr>
              <w:t xml:space="preserve">Produit / Finance</w:t>
            </w:r>
          </w:p>
        </w:tc>
      </w:tr>
      <w:tr>
        <w:tc>
          <w:tcPr>
            <w:tcW w:type="dxa" w:w="700"/>
            <w:shd w:fill="F2F3F5" w:color="auto" w:val="clear"/>
            <w:tcMar>
              <w:top w:type="dxa" w:w="60"/>
              <w:left w:type="dxa" w:w="100"/>
              <w:bottom w:type="dxa" w:w="60"/>
              <w:right w:type="dxa" w:w="100"/>
            </w:tcMar>
            <w:vAlign w:val="center"/>
          </w:tcPr>
          <w:p>
            <w:pPr>
              <w:spacing w:after="20" w:before="0" w:line="236"/>
              <w:jc w:val="left"/>
            </w:pPr>
            <w:r>
              <w:rPr>
                <w:rFonts w:ascii="Calibri" w:cs="Calibri" w:eastAsia="Calibri" w:hAnsi="Calibri"/>
                <w:b/>
                <w:bCs/>
                <w:i w:val="false"/>
                <w:iCs w:val="false"/>
                <w:color w:val="222222"/>
                <w:sz w:val="18"/>
                <w:szCs w:val="18"/>
              </w:rPr>
              <w:t xml:space="preserve">D8</w:t>
            </w:r>
          </w:p>
        </w:tc>
        <w:tc>
          <w:tcPr>
            <w:tcW w:type="dxa" w:w="6100"/>
            <w:tcMar>
              <w:top w:type="dxa" w:w="60"/>
              <w:left w:type="dxa" w:w="100"/>
              <w:bottom w:type="dxa" w:w="60"/>
              <w:right w:type="dxa" w:w="100"/>
            </w:tcMar>
            <w:vAlign w:val="center"/>
          </w:tcPr>
          <w:p>
            <w:pPr>
              <w:spacing w:after="20" w:before="0" w:line="236"/>
              <w:jc w:val="left"/>
            </w:pPr>
            <w:r>
              <w:rPr>
                <w:rFonts w:ascii="Calibri" w:cs="Calibri" w:eastAsia="Calibri" w:hAnsi="Calibri"/>
                <w:b w:val="false"/>
                <w:bCs w:val="false"/>
                <w:i w:val="false"/>
                <w:iCs w:val="false"/>
                <w:color w:val="222222"/>
                <w:sz w:val="18"/>
                <w:szCs w:val="18"/>
              </w:rPr>
              <w:t xml:space="preserve">Finaliser d’abord la plateforme, puis associer un expert-comptable externe sous contrat pour valider les livrables.</w:t>
            </w:r>
          </w:p>
        </w:tc>
        <w:tc>
          <w:tcPr>
            <w:tcW w:type="dxa" w:w="2560"/>
            <w:tcMar>
              <w:top w:type="dxa" w:w="60"/>
              <w:left w:type="dxa" w:w="100"/>
              <w:bottom w:type="dxa" w:w="60"/>
              <w:right w:type="dxa" w:w="100"/>
            </w:tcMar>
            <w:vAlign w:val="center"/>
          </w:tcPr>
          <w:p>
            <w:pPr>
              <w:spacing w:after="20" w:before="0" w:line="236"/>
              <w:jc w:val="left"/>
            </w:pPr>
            <w:r>
              <w:rPr>
                <w:rFonts w:ascii="Calibri" w:cs="Calibri" w:eastAsia="Calibri" w:hAnsi="Calibri"/>
                <w:b w:val="false"/>
                <w:bCs w:val="false"/>
                <w:i w:val="false"/>
                <w:iCs w:val="false"/>
                <w:color w:val="222222"/>
                <w:sz w:val="18"/>
                <w:szCs w:val="18"/>
              </w:rPr>
              <w:t xml:space="preserve">Direction</w:t>
            </w:r>
          </w:p>
        </w:tc>
      </w:tr>
    </w:tbl>
    <w:p>
      <w:pPr>
        <w:pStyle w:val="Heading1"/>
        <w:pBdr>
          <w:bottom w:val="single" w:color="C8A24B" w:sz="14" w:space="6"/>
        </w:pBdr>
        <w:spacing w:after="140" w:before="300"/>
      </w:pPr>
      <w:r>
        <w:rPr>
          <w:rFonts w:ascii="Cambria" w:cs="Cambria" w:eastAsia="Cambria" w:hAnsi="Cambria"/>
          <w:b/>
          <w:bCs/>
          <w:color w:val="0B1F3A"/>
          <w:sz w:val="27"/>
          <w:szCs w:val="27"/>
        </w:rPr>
        <w:t xml:space="preserve">4. Plan d’actions</w:t>
      </w:r>
    </w:p>
    <w:tbl>
      <w:tblPr>
        <w:tblW w:type="dxa" w:w="9360"/>
        <w:tblBorders>
          <w:top w:val="single" w:color="AAB0B8" w:sz="4"/>
          <w:left w:val="single" w:color="AAB0B8" w:sz="4"/>
          <w:bottom w:val="single" w:color="AAB0B8" w:sz="4"/>
          <w:right w:val="single" w:color="AAB0B8" w:sz="4"/>
          <w:insideH w:val="single" w:color="C9CDD3" w:sz="4"/>
          <w:insideV w:val="single" w:color="C9CDD3" w:sz="4"/>
        </w:tblBorders>
      </w:tblPr>
      <w:tblGrid>
        <w:gridCol w:w="600"/>
        <w:gridCol w:w="4550"/>
        <w:gridCol w:w="1850"/>
        <w:gridCol w:w="2360"/>
      </w:tblGrid>
      <w:tr>
        <w:trPr>
          <w:tblHeader/>
        </w:trPr>
        <w:tc>
          <w:tcPr>
            <w:tcW w:type="dxa" w:w="600"/>
            <w:shd w:fill="0B1F3A" w:color="auto" w:val="clear"/>
            <w:tcMar>
              <w:top w:type="dxa" w:w="60"/>
              <w:left w:type="dxa" w:w="100"/>
              <w:bottom w:type="dxa" w:w="60"/>
              <w:right w:type="dxa" w:w="100"/>
            </w:tcMar>
            <w:vAlign w:val="center"/>
          </w:tcPr>
          <w:p>
            <w:pPr>
              <w:spacing w:after="20" w:before="0" w:line="236"/>
              <w:jc w:val="left"/>
            </w:pPr>
            <w:r>
              <w:rPr>
                <w:rFonts w:ascii="Calibri" w:cs="Calibri" w:eastAsia="Calibri" w:hAnsi="Calibri"/>
                <w:b/>
                <w:bCs/>
                <w:i w:val="false"/>
                <w:iCs w:val="false"/>
                <w:color w:val="FFFFFF"/>
                <w:sz w:val="18"/>
                <w:szCs w:val="18"/>
              </w:rPr>
              <w:t xml:space="preserve">N°</w:t>
            </w:r>
          </w:p>
        </w:tc>
        <w:tc>
          <w:tcPr>
            <w:tcW w:type="dxa" w:w="4550"/>
            <w:shd w:fill="0B1F3A" w:color="auto" w:val="clear"/>
            <w:tcMar>
              <w:top w:type="dxa" w:w="60"/>
              <w:left w:type="dxa" w:w="100"/>
              <w:bottom w:type="dxa" w:w="60"/>
              <w:right w:type="dxa" w:w="100"/>
            </w:tcMar>
            <w:vAlign w:val="center"/>
          </w:tcPr>
          <w:p>
            <w:pPr>
              <w:spacing w:after="20" w:before="0" w:line="236"/>
              <w:jc w:val="left"/>
            </w:pPr>
            <w:r>
              <w:rPr>
                <w:rFonts w:ascii="Calibri" w:cs="Calibri" w:eastAsia="Calibri" w:hAnsi="Calibri"/>
                <w:b/>
                <w:bCs/>
                <w:i w:val="false"/>
                <w:iCs w:val="false"/>
                <w:color w:val="FFFFFF"/>
                <w:sz w:val="18"/>
                <w:szCs w:val="18"/>
              </w:rPr>
              <w:t xml:space="preserve">Action</w:t>
            </w:r>
          </w:p>
        </w:tc>
        <w:tc>
          <w:tcPr>
            <w:tcW w:type="dxa" w:w="1850"/>
            <w:shd w:fill="0B1F3A" w:color="auto" w:val="clear"/>
            <w:tcMar>
              <w:top w:type="dxa" w:w="60"/>
              <w:left w:type="dxa" w:w="100"/>
              <w:bottom w:type="dxa" w:w="60"/>
              <w:right w:type="dxa" w:w="100"/>
            </w:tcMar>
            <w:vAlign w:val="center"/>
          </w:tcPr>
          <w:p>
            <w:pPr>
              <w:spacing w:after="20" w:before="0" w:line="236"/>
              <w:jc w:val="left"/>
            </w:pPr>
            <w:r>
              <w:rPr>
                <w:rFonts w:ascii="Calibri" w:cs="Calibri" w:eastAsia="Calibri" w:hAnsi="Calibri"/>
                <w:b/>
                <w:bCs/>
                <w:i w:val="false"/>
                <w:iCs w:val="false"/>
                <w:color w:val="FFFFFF"/>
                <w:sz w:val="18"/>
                <w:szCs w:val="18"/>
              </w:rPr>
              <w:t xml:space="preserve">Responsable</w:t>
            </w:r>
          </w:p>
        </w:tc>
        <w:tc>
          <w:tcPr>
            <w:tcW w:type="dxa" w:w="2360"/>
            <w:shd w:fill="0B1F3A" w:color="auto" w:val="clear"/>
            <w:tcMar>
              <w:top w:type="dxa" w:w="60"/>
              <w:left w:type="dxa" w:w="100"/>
              <w:bottom w:type="dxa" w:w="60"/>
              <w:right w:type="dxa" w:w="100"/>
            </w:tcMar>
            <w:vAlign w:val="center"/>
          </w:tcPr>
          <w:p>
            <w:pPr>
              <w:spacing w:after="20" w:before="0" w:line="236"/>
              <w:jc w:val="left"/>
            </w:pPr>
            <w:r>
              <w:rPr>
                <w:rFonts w:ascii="Calibri" w:cs="Calibri" w:eastAsia="Calibri" w:hAnsi="Calibri"/>
                <w:b/>
                <w:bCs/>
                <w:i w:val="false"/>
                <w:iCs w:val="false"/>
                <w:color w:val="FFFFFF"/>
                <w:sz w:val="18"/>
                <w:szCs w:val="18"/>
              </w:rPr>
              <w:t xml:space="preserve">Échéance</w:t>
            </w:r>
          </w:p>
        </w:tc>
      </w:tr>
      <w:tr>
        <w:tc>
          <w:tcPr>
            <w:tcW w:type="dxa" w:w="600"/>
            <w:shd w:fill="F2F3F5" w:color="auto" w:val="clear"/>
            <w:tcMar>
              <w:top w:type="dxa" w:w="60"/>
              <w:left w:type="dxa" w:w="100"/>
              <w:bottom w:type="dxa" w:w="60"/>
              <w:right w:type="dxa" w:w="100"/>
            </w:tcMar>
            <w:vAlign w:val="center"/>
          </w:tcPr>
          <w:p>
            <w:pPr>
              <w:spacing w:after="20" w:before="0" w:line="236"/>
              <w:jc w:val="left"/>
            </w:pPr>
            <w:r>
              <w:rPr>
                <w:rFonts w:ascii="Calibri" w:cs="Calibri" w:eastAsia="Calibri" w:hAnsi="Calibri"/>
                <w:b/>
                <w:bCs/>
                <w:i w:val="false"/>
                <w:iCs w:val="false"/>
                <w:color w:val="222222"/>
                <w:sz w:val="18"/>
                <w:szCs w:val="18"/>
              </w:rPr>
              <w:t xml:space="preserve">A1</w:t>
            </w:r>
          </w:p>
        </w:tc>
        <w:tc>
          <w:tcPr>
            <w:tcW w:type="dxa" w:w="4550"/>
            <w:tcMar>
              <w:top w:type="dxa" w:w="60"/>
              <w:left w:type="dxa" w:w="100"/>
              <w:bottom w:type="dxa" w:w="60"/>
              <w:right w:type="dxa" w:w="100"/>
            </w:tcMar>
            <w:vAlign w:val="center"/>
          </w:tcPr>
          <w:p>
            <w:pPr>
              <w:spacing w:after="20" w:before="0" w:line="236"/>
              <w:jc w:val="left"/>
            </w:pPr>
            <w:r>
              <w:rPr>
                <w:rFonts w:ascii="Calibri" w:cs="Calibri" w:eastAsia="Calibri" w:hAnsi="Calibri"/>
                <w:b w:val="false"/>
                <w:bCs w:val="false"/>
                <w:i w:val="false"/>
                <w:iCs w:val="false"/>
                <w:color w:val="222222"/>
                <w:sz w:val="18"/>
                <w:szCs w:val="18"/>
              </w:rPr>
              <w:t xml:space="preserve">Développer le filtre de qualité à la saisie (champs obligatoires) et rendre la validation automatique une fois franchi.</w:t>
            </w:r>
          </w:p>
        </w:tc>
        <w:tc>
          <w:tcPr>
            <w:tcW w:type="dxa" w:w="1850"/>
            <w:tcMar>
              <w:top w:type="dxa" w:w="60"/>
              <w:left w:type="dxa" w:w="100"/>
              <w:bottom w:type="dxa" w:w="60"/>
              <w:right w:type="dxa" w:w="100"/>
            </w:tcMar>
            <w:vAlign w:val="center"/>
          </w:tcPr>
          <w:p>
            <w:pPr>
              <w:spacing w:after="20" w:before="0" w:line="236"/>
              <w:jc w:val="left"/>
            </w:pPr>
            <w:r>
              <w:rPr>
                <w:rFonts w:ascii="Calibri" w:cs="Calibri" w:eastAsia="Calibri" w:hAnsi="Calibri"/>
                <w:b w:val="false"/>
                <w:bCs w:val="false"/>
                <w:i w:val="false"/>
                <w:iCs w:val="false"/>
                <w:color w:val="222222"/>
                <w:sz w:val="18"/>
                <w:szCs w:val="18"/>
              </w:rPr>
              <w:t xml:space="preserve">CTO / Développeurs</w:t>
            </w:r>
          </w:p>
        </w:tc>
        <w:tc>
          <w:tcPr>
            <w:tcW w:type="dxa" w:w="2360"/>
            <w:tcMar>
              <w:top w:type="dxa" w:w="60"/>
              <w:left w:type="dxa" w:w="100"/>
              <w:bottom w:type="dxa" w:w="60"/>
              <w:right w:type="dxa" w:w="100"/>
            </w:tcMar>
            <w:vAlign w:val="center"/>
          </w:tcPr>
          <w:p>
            <w:pPr>
              <w:spacing w:after="20" w:before="0" w:line="236"/>
              <w:jc w:val="left"/>
            </w:pPr>
            <w:r>
              <w:rPr>
                <w:rFonts w:ascii="Calibri" w:cs="Calibri" w:eastAsia="Calibri" w:hAnsi="Calibri"/>
                <w:b w:val="false"/>
                <w:bCs w:val="false"/>
                <w:i w:val="false"/>
                <w:iCs w:val="false"/>
                <w:color w:val="222222"/>
                <w:sz w:val="18"/>
                <w:szCs w:val="18"/>
              </w:rPr>
              <w:t xml:space="preserve">Avant lancement</w:t>
            </w:r>
          </w:p>
        </w:tc>
      </w:tr>
      <w:tr>
        <w:tc>
          <w:tcPr>
            <w:tcW w:type="dxa" w:w="600"/>
            <w:shd w:fill="F2F3F5" w:color="auto" w:val="clear"/>
            <w:tcMar>
              <w:top w:type="dxa" w:w="60"/>
              <w:left w:type="dxa" w:w="100"/>
              <w:bottom w:type="dxa" w:w="60"/>
              <w:right w:type="dxa" w:w="100"/>
            </w:tcMar>
            <w:vAlign w:val="center"/>
          </w:tcPr>
          <w:p>
            <w:pPr>
              <w:spacing w:after="20" w:before="0" w:line="236"/>
              <w:jc w:val="left"/>
            </w:pPr>
            <w:r>
              <w:rPr>
                <w:rFonts w:ascii="Calibri" w:cs="Calibri" w:eastAsia="Calibri" w:hAnsi="Calibri"/>
                <w:b/>
                <w:bCs/>
                <w:i w:val="false"/>
                <w:iCs w:val="false"/>
                <w:color w:val="222222"/>
                <w:sz w:val="18"/>
                <w:szCs w:val="18"/>
              </w:rPr>
              <w:t xml:space="preserve">A2</w:t>
            </w:r>
          </w:p>
        </w:tc>
        <w:tc>
          <w:tcPr>
            <w:tcW w:type="dxa" w:w="4550"/>
            <w:tcMar>
              <w:top w:type="dxa" w:w="60"/>
              <w:left w:type="dxa" w:w="100"/>
              <w:bottom w:type="dxa" w:w="60"/>
              <w:right w:type="dxa" w:w="100"/>
            </w:tcMar>
            <w:vAlign w:val="center"/>
          </w:tcPr>
          <w:p>
            <w:pPr>
              <w:spacing w:after="20" w:before="0" w:line="236"/>
              <w:jc w:val="left"/>
            </w:pPr>
            <w:r>
              <w:rPr>
                <w:rFonts w:ascii="Calibri" w:cs="Calibri" w:eastAsia="Calibri" w:hAnsi="Calibri"/>
                <w:b w:val="false"/>
                <w:bCs w:val="false"/>
                <w:i w:val="false"/>
                <w:iCs w:val="false"/>
                <w:color w:val="222222"/>
                <w:sz w:val="18"/>
                <w:szCs w:val="18"/>
              </w:rPr>
              <w:t xml:space="preserve">Spécifier et prototyper l’IA de vérification des factures en appui des comptables.</w:t>
            </w:r>
          </w:p>
        </w:tc>
        <w:tc>
          <w:tcPr>
            <w:tcW w:type="dxa" w:w="1850"/>
            <w:tcMar>
              <w:top w:type="dxa" w:w="60"/>
              <w:left w:type="dxa" w:w="100"/>
              <w:bottom w:type="dxa" w:w="60"/>
              <w:right w:type="dxa" w:w="100"/>
            </w:tcMar>
            <w:vAlign w:val="center"/>
          </w:tcPr>
          <w:p>
            <w:pPr>
              <w:spacing w:after="20" w:before="0" w:line="236"/>
              <w:jc w:val="left"/>
            </w:pPr>
            <w:r>
              <w:rPr>
                <w:rFonts w:ascii="Calibri" w:cs="Calibri" w:eastAsia="Calibri" w:hAnsi="Calibri"/>
                <w:b w:val="false"/>
                <w:bCs w:val="false"/>
                <w:i w:val="false"/>
                <w:iCs w:val="false"/>
                <w:color w:val="222222"/>
                <w:sz w:val="18"/>
                <w:szCs w:val="18"/>
              </w:rPr>
              <w:t xml:space="preserve">CTO / R&amp;D</w:t>
            </w:r>
          </w:p>
        </w:tc>
        <w:tc>
          <w:tcPr>
            <w:tcW w:type="dxa" w:w="2360"/>
            <w:tcMar>
              <w:top w:type="dxa" w:w="60"/>
              <w:left w:type="dxa" w:w="100"/>
              <w:bottom w:type="dxa" w:w="60"/>
              <w:right w:type="dxa" w:w="100"/>
            </w:tcMar>
            <w:vAlign w:val="center"/>
          </w:tcPr>
          <w:p>
            <w:pPr>
              <w:spacing w:after="20" w:before="0" w:line="236"/>
              <w:jc w:val="left"/>
            </w:pPr>
            <w:r>
              <w:rPr>
                <w:rFonts w:ascii="Calibri" w:cs="Calibri" w:eastAsia="Calibri" w:hAnsi="Calibri"/>
                <w:b w:val="false"/>
                <w:bCs w:val="false"/>
                <w:i w:val="false"/>
                <w:iCs w:val="false"/>
                <w:color w:val="222222"/>
                <w:sz w:val="18"/>
                <w:szCs w:val="18"/>
              </w:rPr>
              <w:t xml:space="preserve">____________</w:t>
            </w:r>
          </w:p>
        </w:tc>
      </w:tr>
      <w:tr>
        <w:tc>
          <w:tcPr>
            <w:tcW w:type="dxa" w:w="600"/>
            <w:shd w:fill="F2F3F5" w:color="auto" w:val="clear"/>
            <w:tcMar>
              <w:top w:type="dxa" w:w="60"/>
              <w:left w:type="dxa" w:w="100"/>
              <w:bottom w:type="dxa" w:w="60"/>
              <w:right w:type="dxa" w:w="100"/>
            </w:tcMar>
            <w:vAlign w:val="center"/>
          </w:tcPr>
          <w:p>
            <w:pPr>
              <w:spacing w:after="20" w:before="0" w:line="236"/>
              <w:jc w:val="left"/>
            </w:pPr>
            <w:r>
              <w:rPr>
                <w:rFonts w:ascii="Calibri" w:cs="Calibri" w:eastAsia="Calibri" w:hAnsi="Calibri"/>
                <w:b/>
                <w:bCs/>
                <w:i w:val="false"/>
                <w:iCs w:val="false"/>
                <w:color w:val="222222"/>
                <w:sz w:val="18"/>
                <w:szCs w:val="18"/>
              </w:rPr>
              <w:t xml:space="preserve">A3</w:t>
            </w:r>
          </w:p>
        </w:tc>
        <w:tc>
          <w:tcPr>
            <w:tcW w:type="dxa" w:w="4550"/>
            <w:tcMar>
              <w:top w:type="dxa" w:w="60"/>
              <w:left w:type="dxa" w:w="100"/>
              <w:bottom w:type="dxa" w:w="60"/>
              <w:right w:type="dxa" w:w="100"/>
            </w:tcMar>
            <w:vAlign w:val="center"/>
          </w:tcPr>
          <w:p>
            <w:pPr>
              <w:spacing w:after="20" w:before="0" w:line="236"/>
              <w:jc w:val="left"/>
            </w:pPr>
            <w:r>
              <w:rPr>
                <w:rFonts w:ascii="Calibri" w:cs="Calibri" w:eastAsia="Calibri" w:hAnsi="Calibri"/>
                <w:b w:val="false"/>
                <w:bCs w:val="false"/>
                <w:i w:val="false"/>
                <w:iCs w:val="false"/>
                <w:color w:val="222222"/>
                <w:sz w:val="18"/>
                <w:szCs w:val="18"/>
              </w:rPr>
              <w:t xml:space="preserve">Définir le processus de contrôle qualité trimestriel par entreprise (méthode, responsables, échantillonnage).</w:t>
            </w:r>
          </w:p>
        </w:tc>
        <w:tc>
          <w:tcPr>
            <w:tcW w:type="dxa" w:w="1850"/>
            <w:tcMar>
              <w:top w:type="dxa" w:w="60"/>
              <w:left w:type="dxa" w:w="100"/>
              <w:bottom w:type="dxa" w:w="60"/>
              <w:right w:type="dxa" w:w="100"/>
            </w:tcMar>
            <w:vAlign w:val="center"/>
          </w:tcPr>
          <w:p>
            <w:pPr>
              <w:spacing w:after="20" w:before="0" w:line="236"/>
              <w:jc w:val="left"/>
            </w:pPr>
            <w:r>
              <w:rPr>
                <w:rFonts w:ascii="Calibri" w:cs="Calibri" w:eastAsia="Calibri" w:hAnsi="Calibri"/>
                <w:b w:val="false"/>
                <w:bCs w:val="false"/>
                <w:i w:val="false"/>
                <w:iCs w:val="false"/>
                <w:color w:val="222222"/>
                <w:sz w:val="18"/>
                <w:szCs w:val="18"/>
              </w:rPr>
              <w:t xml:space="preserve">CFO / Comptabilité</w:t>
            </w:r>
          </w:p>
        </w:tc>
        <w:tc>
          <w:tcPr>
            <w:tcW w:type="dxa" w:w="2360"/>
            <w:tcMar>
              <w:top w:type="dxa" w:w="60"/>
              <w:left w:type="dxa" w:w="100"/>
              <w:bottom w:type="dxa" w:w="60"/>
              <w:right w:type="dxa" w:w="100"/>
            </w:tcMar>
            <w:vAlign w:val="center"/>
          </w:tcPr>
          <w:p>
            <w:pPr>
              <w:spacing w:after="20" w:before="0" w:line="236"/>
              <w:jc w:val="left"/>
            </w:pPr>
            <w:r>
              <w:rPr>
                <w:rFonts w:ascii="Calibri" w:cs="Calibri" w:eastAsia="Calibri" w:hAnsi="Calibri"/>
                <w:b w:val="false"/>
                <w:bCs w:val="false"/>
                <w:i w:val="false"/>
                <w:iCs w:val="false"/>
                <w:color w:val="222222"/>
                <w:sz w:val="18"/>
                <w:szCs w:val="18"/>
              </w:rPr>
              <w:t xml:space="preserve">____________</w:t>
            </w:r>
          </w:p>
        </w:tc>
      </w:tr>
      <w:tr>
        <w:tc>
          <w:tcPr>
            <w:tcW w:type="dxa" w:w="600"/>
            <w:shd w:fill="F2F3F5" w:color="auto" w:val="clear"/>
            <w:tcMar>
              <w:top w:type="dxa" w:w="60"/>
              <w:left w:type="dxa" w:w="100"/>
              <w:bottom w:type="dxa" w:w="60"/>
              <w:right w:type="dxa" w:w="100"/>
            </w:tcMar>
            <w:vAlign w:val="center"/>
          </w:tcPr>
          <w:p>
            <w:pPr>
              <w:spacing w:after="20" w:before="0" w:line="236"/>
              <w:jc w:val="left"/>
            </w:pPr>
            <w:r>
              <w:rPr>
                <w:rFonts w:ascii="Calibri" w:cs="Calibri" w:eastAsia="Calibri" w:hAnsi="Calibri"/>
                <w:b/>
                <w:bCs/>
                <w:i w:val="false"/>
                <w:iCs w:val="false"/>
                <w:color w:val="222222"/>
                <w:sz w:val="18"/>
                <w:szCs w:val="18"/>
              </w:rPr>
              <w:t xml:space="preserve">A4</w:t>
            </w:r>
          </w:p>
        </w:tc>
        <w:tc>
          <w:tcPr>
            <w:tcW w:type="dxa" w:w="4550"/>
            <w:tcMar>
              <w:top w:type="dxa" w:w="60"/>
              <w:left w:type="dxa" w:w="100"/>
              <w:bottom w:type="dxa" w:w="60"/>
              <w:right w:type="dxa" w:w="100"/>
            </w:tcMar>
            <w:vAlign w:val="center"/>
          </w:tcPr>
          <w:p>
            <w:pPr>
              <w:spacing w:after="20" w:before="0" w:line="236"/>
              <w:jc w:val="left"/>
            </w:pPr>
            <w:r>
              <w:rPr>
                <w:rFonts w:ascii="Calibri" w:cs="Calibri" w:eastAsia="Calibri" w:hAnsi="Calibri"/>
                <w:b w:val="false"/>
                <w:bCs w:val="false"/>
                <w:i w:val="false"/>
                <w:iCs w:val="false"/>
                <w:color w:val="222222"/>
                <w:sz w:val="18"/>
                <w:szCs w:val="18"/>
              </w:rPr>
              <w:t xml:space="preserve">Cadrer le modèle « cabinets partenaires » : niveaux d’accès, instances/administrateurs, centralisation des données, tarification.</w:t>
            </w:r>
          </w:p>
        </w:tc>
        <w:tc>
          <w:tcPr>
            <w:tcW w:type="dxa" w:w="1850"/>
            <w:tcMar>
              <w:top w:type="dxa" w:w="60"/>
              <w:left w:type="dxa" w:w="100"/>
              <w:bottom w:type="dxa" w:w="60"/>
              <w:right w:type="dxa" w:w="100"/>
            </w:tcMar>
            <w:vAlign w:val="center"/>
          </w:tcPr>
          <w:p>
            <w:pPr>
              <w:spacing w:after="20" w:before="0" w:line="236"/>
              <w:jc w:val="left"/>
            </w:pPr>
            <w:r>
              <w:rPr>
                <w:rFonts w:ascii="Calibri" w:cs="Calibri" w:eastAsia="Calibri" w:hAnsi="Calibri"/>
                <w:b w:val="false"/>
                <w:bCs w:val="false"/>
                <w:i w:val="false"/>
                <w:iCs w:val="false"/>
                <w:color w:val="222222"/>
                <w:sz w:val="18"/>
                <w:szCs w:val="18"/>
              </w:rPr>
              <w:t xml:space="preserve">DG / CTO</w:t>
            </w:r>
          </w:p>
        </w:tc>
        <w:tc>
          <w:tcPr>
            <w:tcW w:type="dxa" w:w="2360"/>
            <w:tcMar>
              <w:top w:type="dxa" w:w="60"/>
              <w:left w:type="dxa" w:w="100"/>
              <w:bottom w:type="dxa" w:w="60"/>
              <w:right w:type="dxa" w:w="100"/>
            </w:tcMar>
            <w:vAlign w:val="center"/>
          </w:tcPr>
          <w:p>
            <w:pPr>
              <w:spacing w:after="20" w:before="0" w:line="236"/>
              <w:jc w:val="left"/>
            </w:pPr>
            <w:r>
              <w:rPr>
                <w:rFonts w:ascii="Calibri" w:cs="Calibri" w:eastAsia="Calibri" w:hAnsi="Calibri"/>
                <w:b w:val="false"/>
                <w:bCs w:val="false"/>
                <w:i w:val="false"/>
                <w:iCs w:val="false"/>
                <w:color w:val="222222"/>
                <w:sz w:val="18"/>
                <w:szCs w:val="18"/>
              </w:rPr>
              <w:t xml:space="preserve">____________</w:t>
            </w:r>
          </w:p>
        </w:tc>
      </w:tr>
      <w:tr>
        <w:tc>
          <w:tcPr>
            <w:tcW w:type="dxa" w:w="600"/>
            <w:shd w:fill="F2F3F5" w:color="auto" w:val="clear"/>
            <w:tcMar>
              <w:top w:type="dxa" w:w="60"/>
              <w:left w:type="dxa" w:w="100"/>
              <w:bottom w:type="dxa" w:w="60"/>
              <w:right w:type="dxa" w:w="100"/>
            </w:tcMar>
            <w:vAlign w:val="center"/>
          </w:tcPr>
          <w:p>
            <w:pPr>
              <w:spacing w:after="20" w:before="0" w:line="236"/>
              <w:jc w:val="left"/>
            </w:pPr>
            <w:r>
              <w:rPr>
                <w:rFonts w:ascii="Calibri" w:cs="Calibri" w:eastAsia="Calibri" w:hAnsi="Calibri"/>
                <w:b/>
                <w:bCs/>
                <w:i w:val="false"/>
                <w:iCs w:val="false"/>
                <w:color w:val="222222"/>
                <w:sz w:val="18"/>
                <w:szCs w:val="18"/>
              </w:rPr>
              <w:t xml:space="preserve">A5</w:t>
            </w:r>
          </w:p>
        </w:tc>
        <w:tc>
          <w:tcPr>
            <w:tcW w:type="dxa" w:w="4550"/>
            <w:tcMar>
              <w:top w:type="dxa" w:w="60"/>
              <w:left w:type="dxa" w:w="100"/>
              <w:bottom w:type="dxa" w:w="60"/>
              <w:right w:type="dxa" w:w="100"/>
            </w:tcMar>
            <w:vAlign w:val="center"/>
          </w:tcPr>
          <w:p>
            <w:pPr>
              <w:spacing w:after="20" w:before="0" w:line="236"/>
              <w:jc w:val="left"/>
            </w:pPr>
            <w:r>
              <w:rPr>
                <w:rFonts w:ascii="Calibri" w:cs="Calibri" w:eastAsia="Calibri" w:hAnsi="Calibri"/>
                <w:b w:val="false"/>
                <w:bCs w:val="false"/>
                <w:i w:val="false"/>
                <w:iCs w:val="false"/>
                <w:color w:val="222222"/>
                <w:sz w:val="18"/>
                <w:szCs w:val="18"/>
              </w:rPr>
              <w:t xml:space="preserve">Recenser les éléments requis pour un dossier d’agrément « paiement » et étudier les plateformes existantes.</w:t>
            </w:r>
          </w:p>
        </w:tc>
        <w:tc>
          <w:tcPr>
            <w:tcW w:type="dxa" w:w="1850"/>
            <w:tcMar>
              <w:top w:type="dxa" w:w="60"/>
              <w:left w:type="dxa" w:w="100"/>
              <w:bottom w:type="dxa" w:w="60"/>
              <w:right w:type="dxa" w:w="100"/>
            </w:tcMar>
            <w:vAlign w:val="center"/>
          </w:tcPr>
          <w:p>
            <w:pPr>
              <w:spacing w:after="20" w:before="0" w:line="236"/>
              <w:jc w:val="left"/>
            </w:pPr>
            <w:r>
              <w:rPr>
                <w:rFonts w:ascii="Calibri" w:cs="Calibri" w:eastAsia="Calibri" w:hAnsi="Calibri"/>
                <w:b w:val="false"/>
                <w:bCs w:val="false"/>
                <w:i w:val="false"/>
                <w:iCs w:val="false"/>
                <w:color w:val="222222"/>
                <w:sz w:val="18"/>
                <w:szCs w:val="18"/>
              </w:rPr>
              <w:t xml:space="preserve">DG / Juriste</w:t>
            </w:r>
          </w:p>
        </w:tc>
        <w:tc>
          <w:tcPr>
            <w:tcW w:type="dxa" w:w="2360"/>
            <w:tcMar>
              <w:top w:type="dxa" w:w="60"/>
              <w:left w:type="dxa" w:w="100"/>
              <w:bottom w:type="dxa" w:w="60"/>
              <w:right w:type="dxa" w:w="100"/>
            </w:tcMar>
            <w:vAlign w:val="center"/>
          </w:tcPr>
          <w:p>
            <w:pPr>
              <w:spacing w:after="20" w:before="0" w:line="236"/>
              <w:jc w:val="left"/>
            </w:pPr>
            <w:r>
              <w:rPr>
                <w:rFonts w:ascii="Calibri" w:cs="Calibri" w:eastAsia="Calibri" w:hAnsi="Calibri"/>
                <w:b w:val="false"/>
                <w:bCs w:val="false"/>
                <w:i w:val="false"/>
                <w:iCs w:val="false"/>
                <w:color w:val="222222"/>
                <w:sz w:val="18"/>
                <w:szCs w:val="18"/>
              </w:rPr>
              <w:t xml:space="preserve">____________</w:t>
            </w:r>
          </w:p>
        </w:tc>
      </w:tr>
      <w:tr>
        <w:tc>
          <w:tcPr>
            <w:tcW w:type="dxa" w:w="600"/>
            <w:shd w:fill="F2F3F5" w:color="auto" w:val="clear"/>
            <w:tcMar>
              <w:top w:type="dxa" w:w="60"/>
              <w:left w:type="dxa" w:w="100"/>
              <w:bottom w:type="dxa" w:w="60"/>
              <w:right w:type="dxa" w:w="100"/>
            </w:tcMar>
            <w:vAlign w:val="center"/>
          </w:tcPr>
          <w:p>
            <w:pPr>
              <w:spacing w:after="20" w:before="0" w:line="236"/>
              <w:jc w:val="left"/>
            </w:pPr>
            <w:r>
              <w:rPr>
                <w:rFonts w:ascii="Calibri" w:cs="Calibri" w:eastAsia="Calibri" w:hAnsi="Calibri"/>
                <w:b/>
                <w:bCs/>
                <w:i w:val="false"/>
                <w:iCs w:val="false"/>
                <w:color w:val="222222"/>
                <w:sz w:val="18"/>
                <w:szCs w:val="18"/>
              </w:rPr>
              <w:t xml:space="preserve">A6</w:t>
            </w:r>
          </w:p>
        </w:tc>
        <w:tc>
          <w:tcPr>
            <w:tcW w:type="dxa" w:w="4550"/>
            <w:tcMar>
              <w:top w:type="dxa" w:w="60"/>
              <w:left w:type="dxa" w:w="100"/>
              <w:bottom w:type="dxa" w:w="60"/>
              <w:right w:type="dxa" w:w="100"/>
            </w:tcMar>
            <w:vAlign w:val="center"/>
          </w:tcPr>
          <w:p>
            <w:pPr>
              <w:spacing w:after="20" w:before="0" w:line="236"/>
              <w:jc w:val="left"/>
            </w:pPr>
            <w:r>
              <w:rPr>
                <w:rFonts w:ascii="Calibri" w:cs="Calibri" w:eastAsia="Calibri" w:hAnsi="Calibri"/>
                <w:b w:val="false"/>
                <w:bCs w:val="false"/>
                <w:i w:val="false"/>
                <w:iCs w:val="false"/>
                <w:color w:val="222222"/>
                <w:sz w:val="18"/>
                <w:szCs w:val="18"/>
              </w:rPr>
              <w:t xml:space="preserve">Préparer le modèle Excel d’ajustement de la trésorerie réelle (dates de valeur, jours de banque, conditions bancaires).</w:t>
            </w:r>
          </w:p>
        </w:tc>
        <w:tc>
          <w:tcPr>
            <w:tcW w:type="dxa" w:w="1850"/>
            <w:tcMar>
              <w:top w:type="dxa" w:w="60"/>
              <w:left w:type="dxa" w:w="100"/>
              <w:bottom w:type="dxa" w:w="60"/>
              <w:right w:type="dxa" w:w="100"/>
            </w:tcMar>
            <w:vAlign w:val="center"/>
          </w:tcPr>
          <w:p>
            <w:pPr>
              <w:spacing w:after="20" w:before="0" w:line="236"/>
              <w:jc w:val="left"/>
            </w:pPr>
            <w:r>
              <w:rPr>
                <w:rFonts w:ascii="Calibri" w:cs="Calibri" w:eastAsia="Calibri" w:hAnsi="Calibri"/>
                <w:b w:val="false"/>
                <w:bCs w:val="false"/>
                <w:i w:val="false"/>
                <w:iCs w:val="false"/>
                <w:color w:val="222222"/>
                <w:sz w:val="18"/>
                <w:szCs w:val="18"/>
              </w:rPr>
              <w:t xml:space="preserve">CFO</w:t>
            </w:r>
          </w:p>
        </w:tc>
        <w:tc>
          <w:tcPr>
            <w:tcW w:type="dxa" w:w="2360"/>
            <w:tcMar>
              <w:top w:type="dxa" w:w="60"/>
              <w:left w:type="dxa" w:w="100"/>
              <w:bottom w:type="dxa" w:w="60"/>
              <w:right w:type="dxa" w:w="100"/>
            </w:tcMar>
            <w:vAlign w:val="center"/>
          </w:tcPr>
          <w:p>
            <w:pPr>
              <w:spacing w:after="20" w:before="0" w:line="236"/>
              <w:jc w:val="left"/>
            </w:pPr>
            <w:r>
              <w:rPr>
                <w:rFonts w:ascii="Calibri" w:cs="Calibri" w:eastAsia="Calibri" w:hAnsi="Calibri"/>
                <w:b w:val="false"/>
                <w:bCs w:val="false"/>
                <w:i w:val="false"/>
                <w:iCs w:val="false"/>
                <w:color w:val="222222"/>
                <w:sz w:val="18"/>
                <w:szCs w:val="18"/>
              </w:rPr>
              <w:t xml:space="preserve">Ce week-end</w:t>
            </w:r>
          </w:p>
        </w:tc>
      </w:tr>
      <w:tr>
        <w:tc>
          <w:tcPr>
            <w:tcW w:type="dxa" w:w="600"/>
            <w:shd w:fill="F2F3F5" w:color="auto" w:val="clear"/>
            <w:tcMar>
              <w:top w:type="dxa" w:w="60"/>
              <w:left w:type="dxa" w:w="100"/>
              <w:bottom w:type="dxa" w:w="60"/>
              <w:right w:type="dxa" w:w="100"/>
            </w:tcMar>
            <w:vAlign w:val="center"/>
          </w:tcPr>
          <w:p>
            <w:pPr>
              <w:spacing w:after="20" w:before="0" w:line="236"/>
              <w:jc w:val="left"/>
            </w:pPr>
            <w:r>
              <w:rPr>
                <w:rFonts w:ascii="Calibri" w:cs="Calibri" w:eastAsia="Calibri" w:hAnsi="Calibri"/>
                <w:b/>
                <w:bCs/>
                <w:i w:val="false"/>
                <w:iCs w:val="false"/>
                <w:color w:val="222222"/>
                <w:sz w:val="18"/>
                <w:szCs w:val="18"/>
              </w:rPr>
              <w:t xml:space="preserve">A7</w:t>
            </w:r>
          </w:p>
        </w:tc>
        <w:tc>
          <w:tcPr>
            <w:tcW w:type="dxa" w:w="4550"/>
            <w:tcMar>
              <w:top w:type="dxa" w:w="60"/>
              <w:left w:type="dxa" w:w="100"/>
              <w:bottom w:type="dxa" w:w="60"/>
              <w:right w:type="dxa" w:w="100"/>
            </w:tcMar>
            <w:vAlign w:val="center"/>
          </w:tcPr>
          <w:p>
            <w:pPr>
              <w:spacing w:after="20" w:before="0" w:line="236"/>
              <w:jc w:val="left"/>
            </w:pPr>
            <w:r>
              <w:rPr>
                <w:rFonts w:ascii="Calibri" w:cs="Calibri" w:eastAsia="Calibri" w:hAnsi="Calibri"/>
                <w:b w:val="false"/>
                <w:bCs w:val="false"/>
                <w:i w:val="false"/>
                <w:iCs w:val="false"/>
                <w:color w:val="222222"/>
                <w:sz w:val="18"/>
                <w:szCs w:val="18"/>
              </w:rPr>
              <w:t xml:space="preserve">Finaliser la plateforme, puis proposer un contrat à l’expert-comptable externe pour la revue du bilan.</w:t>
            </w:r>
          </w:p>
        </w:tc>
        <w:tc>
          <w:tcPr>
            <w:tcW w:type="dxa" w:w="1850"/>
            <w:tcMar>
              <w:top w:type="dxa" w:w="60"/>
              <w:left w:type="dxa" w:w="100"/>
              <w:bottom w:type="dxa" w:w="60"/>
              <w:right w:type="dxa" w:w="100"/>
            </w:tcMar>
            <w:vAlign w:val="center"/>
          </w:tcPr>
          <w:p>
            <w:pPr>
              <w:spacing w:after="20" w:before="0" w:line="236"/>
              <w:jc w:val="left"/>
            </w:pPr>
            <w:r>
              <w:rPr>
                <w:rFonts w:ascii="Calibri" w:cs="Calibri" w:eastAsia="Calibri" w:hAnsi="Calibri"/>
                <w:b w:val="false"/>
                <w:bCs w:val="false"/>
                <w:i w:val="false"/>
                <w:iCs w:val="false"/>
                <w:color w:val="222222"/>
                <w:sz w:val="18"/>
                <w:szCs w:val="18"/>
              </w:rPr>
              <w:t xml:space="preserve">DG</w:t>
            </w:r>
          </w:p>
        </w:tc>
        <w:tc>
          <w:tcPr>
            <w:tcW w:type="dxa" w:w="2360"/>
            <w:tcMar>
              <w:top w:type="dxa" w:w="60"/>
              <w:left w:type="dxa" w:w="100"/>
              <w:bottom w:type="dxa" w:w="60"/>
              <w:right w:type="dxa" w:w="100"/>
            </w:tcMar>
            <w:vAlign w:val="center"/>
          </w:tcPr>
          <w:p>
            <w:pPr>
              <w:spacing w:after="20" w:before="0" w:line="236"/>
              <w:jc w:val="left"/>
            </w:pPr>
            <w:r>
              <w:rPr>
                <w:rFonts w:ascii="Calibri" w:cs="Calibri" w:eastAsia="Calibri" w:hAnsi="Calibri"/>
                <w:b w:val="false"/>
                <w:bCs w:val="false"/>
                <w:i w:val="false"/>
                <w:iCs w:val="false"/>
                <w:color w:val="222222"/>
                <w:sz w:val="18"/>
                <w:szCs w:val="18"/>
              </w:rPr>
              <w:t xml:space="preserve">À la finalisation</w:t>
            </w:r>
          </w:p>
        </w:tc>
      </w:tr>
    </w:tbl>
    <w:p>
      <w:pPr>
        <w:spacing w:after="60"/>
      </w:pPr>
    </w:p>
    <w:p>
      <w:pPr>
        <w:spacing w:after="120" w:before="0" w:line="264"/>
        <w:jc w:val="left"/>
      </w:pPr>
      <w:r>
        <w:rPr>
          <w:rFonts w:ascii="Calibri" w:cs="Calibri" w:eastAsia="Calibri" w:hAnsi="Calibri"/>
          <w:b w:val="false"/>
          <w:bCs w:val="false"/>
          <w:i/>
          <w:iCs/>
          <w:color w:val="5A5A5A"/>
          <w:sz w:val="19"/>
          <w:szCs w:val="19"/>
        </w:rPr>
        <w:t xml:space="preserve">Les responsables et échéances laissés en pointillés sont à confirmer par les associés.</w:t>
      </w:r>
    </w:p>
    <w:p>
      <w:pPr>
        <w:pStyle w:val="Heading1"/>
        <w:pBdr>
          <w:bottom w:val="single" w:color="C8A24B" w:sz="14" w:space="6"/>
        </w:pBdr>
        <w:spacing w:after="140" w:before="300"/>
      </w:pPr>
      <w:r>
        <w:rPr>
          <w:rFonts w:ascii="Cambria" w:cs="Cambria" w:eastAsia="Cambria" w:hAnsi="Cambria"/>
          <w:b/>
          <w:bCs/>
          <w:color w:val="0B1F3A"/>
          <w:sz w:val="27"/>
          <w:szCs w:val="27"/>
        </w:rPr>
        <w:t xml:space="preserve">5. Points ouverts / à trancher</w:t>
      </w:r>
    </w:p>
    <w:p>
      <w:pPr>
        <w:pStyle w:val="ListParagraph"/>
        <w:numPr>
          <w:ilvl w:val="0"/>
          <w:numId w:val="2"/>
        </w:numPr>
        <w:spacing w:after="70" w:line="260"/>
        <w:jc w:val="both"/>
      </w:pPr>
      <w:r>
        <w:rPr>
          <w:rFonts w:ascii="Calibri" w:cs="Calibri" w:eastAsia="Calibri" w:hAnsi="Calibri"/>
          <w:b w:val="false"/>
          <w:bCs w:val="false"/>
          <w:i w:val="false"/>
          <w:iCs w:val="false"/>
          <w:color w:val="222222"/>
          <w:sz w:val="21"/>
          <w:szCs w:val="21"/>
        </w:rPr>
        <w:t xml:space="preserve">Répartition définitive du rôle de validation entre client, comptables internes et IA.</w:t>
      </w:r>
    </w:p>
    <w:p>
      <w:pPr>
        <w:pStyle w:val="ListParagraph"/>
        <w:numPr>
          <w:ilvl w:val="0"/>
          <w:numId w:val="2"/>
        </w:numPr>
        <w:spacing w:after="70" w:line="260"/>
        <w:jc w:val="both"/>
      </w:pPr>
      <w:r>
        <w:rPr>
          <w:rFonts w:ascii="Calibri" w:cs="Calibri" w:eastAsia="Calibri" w:hAnsi="Calibri"/>
          <w:b w:val="false"/>
          <w:bCs w:val="false"/>
          <w:i w:val="false"/>
          <w:iCs w:val="false"/>
          <w:color w:val="222222"/>
          <w:sz w:val="21"/>
          <w:szCs w:val="21"/>
        </w:rPr>
        <w:t xml:space="preserve">Modalités précises du modèle « cabinets partenaires » (nombre d’instances et d’administrateurs, gouvernance des données, modèle économique).</w:t>
      </w:r>
    </w:p>
    <w:p>
      <w:pPr>
        <w:pStyle w:val="ListParagraph"/>
        <w:numPr>
          <w:ilvl w:val="0"/>
          <w:numId w:val="2"/>
        </w:numPr>
        <w:spacing w:after="70" w:line="260"/>
        <w:jc w:val="both"/>
      </w:pPr>
      <w:r>
        <w:rPr>
          <w:rFonts w:ascii="Calibri" w:cs="Calibri" w:eastAsia="Calibri" w:hAnsi="Calibri"/>
          <w:b w:val="false"/>
          <w:bCs w:val="false"/>
          <w:i w:val="false"/>
          <w:iCs w:val="false"/>
          <w:color w:val="222222"/>
          <w:sz w:val="21"/>
          <w:szCs w:val="21"/>
        </w:rPr>
        <w:t xml:space="preserve">Périmètre et calendrier de l’intégration des paiements, et opportunité d’un agrément.</w:t>
      </w:r>
    </w:p>
    <w:p>
      <w:pPr>
        <w:pStyle w:val="ListParagraph"/>
        <w:numPr>
          <w:ilvl w:val="0"/>
          <w:numId w:val="2"/>
        </w:numPr>
        <w:spacing w:after="70" w:line="260"/>
        <w:jc w:val="both"/>
      </w:pPr>
      <w:r>
        <w:rPr>
          <w:rFonts w:ascii="Calibri" w:cs="Calibri" w:eastAsia="Calibri" w:hAnsi="Calibri"/>
          <w:b w:val="false"/>
          <w:bCs w:val="false"/>
          <w:i w:val="false"/>
          <w:iCs w:val="false"/>
          <w:color w:val="222222"/>
          <w:sz w:val="21"/>
          <w:szCs w:val="21"/>
        </w:rPr>
        <w:t xml:space="preserve">Modalités contractuelles avec l’expert-comptable externe (mission, rémunération, calendrier).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8A24B" w:sz="24"/>
              <w:bottom w:val="none"/>
              <w:right w:val="none"/>
            </w:tcBorders>
            <w:shd w:fill="F7F1E2" w:color="auto" w:val="clear"/>
            <w:tcMar>
              <w:top w:type="dxa" w:w="130"/>
              <w:left w:type="dxa" w:w="180"/>
              <w:bottom w:type="dxa" w:w="130"/>
              <w:right w:type="dxa" w:w="180"/>
            </w:tcMar>
          </w:tcPr>
          <w:p>
            <w:pPr>
              <w:spacing w:after="60" w:before="0" w:line="264"/>
              <w:jc w:val="left"/>
            </w:pPr>
            <w:r>
              <w:rPr>
                <w:rFonts w:ascii="Calibri" w:cs="Calibri" w:eastAsia="Calibri" w:hAnsi="Calibri"/>
                <w:b/>
                <w:bCs/>
                <w:i w:val="false"/>
                <w:iCs w:val="false"/>
                <w:color w:val="0B1F3A"/>
                <w:sz w:val="21"/>
                <w:szCs w:val="21"/>
              </w:rPr>
              <w:t xml:space="preserve">Prochaine étape</w:t>
            </w:r>
          </w:p>
          <w:p>
            <w:pPr>
              <w:spacing w:after="0" w:before="0" w:line="258"/>
              <w:jc w:val="left"/>
            </w:pPr>
            <w:r>
              <w:rPr>
                <w:rFonts w:ascii="Calibri" w:cs="Calibri" w:eastAsia="Calibri" w:hAnsi="Calibri"/>
                <w:b w:val="false"/>
                <w:bCs w:val="false"/>
                <w:i w:val="false"/>
                <w:iCs w:val="false"/>
                <w:color w:val="333333"/>
                <w:sz w:val="20"/>
                <w:szCs w:val="20"/>
              </w:rPr>
              <w:t xml:space="preserve">Finaliser la plateforme dans les prochains jours, puis organiser une session de travail avec l’expert-comptable externe pour dérouler le bilan et réajuster les livrables comptables. Une revue de suivi des présentes actions sera tenue à la prochaine réunion.</w:t>
            </w:r>
          </w:p>
        </w:tc>
      </w:tr>
    </w:tbl>
    <w:p>
      <w:pPr>
        <w:spacing w:after="200"/>
      </w:pPr>
    </w:p>
    <w:tbl>
      <w:tblPr>
        <w:tblW w:type="dxa" w:w="9360"/>
        <w:tblBorders>
          <w:top w:val="single" w:color="AAB0B8" w:sz="4"/>
          <w:left w:val="single" w:color="AAB0B8" w:sz="4"/>
          <w:bottom w:val="single" w:color="AAB0B8" w:sz="4"/>
          <w:right w:val="single" w:color="AAB0B8" w:sz="4"/>
          <w:insideH w:val="single" w:color="C9CDD3" w:sz="4"/>
          <w:insideV w:val="single" w:color="C9CDD3" w:sz="4"/>
        </w:tblBorders>
      </w:tblPr>
      <w:tblGrid>
        <w:gridCol w:w="3120"/>
        <w:gridCol w:w="3120"/>
        <w:gridCol w:w="3120"/>
      </w:tblGrid>
      <w:tr>
        <w:tc>
          <w:tcPr>
            <w:tcW w:type="dxa" w:w="3120"/>
            <w:shd w:fill="F2F3F5" w:color="auto" w:val="clear"/>
            <w:tcMar>
              <w:top w:type="dxa" w:w="60"/>
              <w:left w:type="dxa" w:w="100"/>
              <w:bottom w:type="dxa" w:w="60"/>
              <w:right w:type="dxa" w:w="100"/>
            </w:tcMar>
            <w:vAlign w:val="center"/>
          </w:tcPr>
          <w:p>
            <w:pPr>
              <w:spacing w:after="200" w:before="0" w:line="264"/>
              <w:jc w:val="left"/>
            </w:pPr>
            <w:r>
              <w:rPr>
                <w:rFonts w:ascii="Calibri" w:cs="Calibri" w:eastAsia="Calibri" w:hAnsi="Calibri"/>
                <w:b/>
                <w:bCs/>
                <w:i w:val="false"/>
                <w:iCs w:val="false"/>
                <w:color w:val="222222"/>
                <w:sz w:val="21"/>
                <w:szCs w:val="21"/>
              </w:rPr>
              <w:t xml:space="preserve">Le Directeur Général</w:t>
            </w:r>
          </w:p>
          <w:p>
            <w:pPr>
              <w:spacing w:after="0" w:before="0" w:line="264"/>
              <w:jc w:val="left"/>
            </w:pPr>
            <w:r>
              <w:rPr>
                <w:rFonts w:ascii="Calibri" w:cs="Calibri" w:eastAsia="Calibri" w:hAnsi="Calibri"/>
                <w:b w:val="false"/>
                <w:bCs w:val="false"/>
                <w:i w:val="false"/>
                <w:iCs w:val="false"/>
                <w:color w:val="222222"/>
                <w:sz w:val="21"/>
                <w:szCs w:val="21"/>
              </w:rPr>
              <w:t xml:space="preserve">____________________</w:t>
            </w:r>
          </w:p>
        </w:tc>
        <w:tc>
          <w:tcPr>
            <w:tcW w:type="dxa" w:w="3120"/>
            <w:tcMar>
              <w:top w:type="dxa" w:w="60"/>
              <w:left w:type="dxa" w:w="100"/>
              <w:bottom w:type="dxa" w:w="60"/>
              <w:right w:type="dxa" w:w="100"/>
            </w:tcMar>
            <w:vAlign w:val="center"/>
          </w:tcPr>
          <w:p>
            <w:pPr>
              <w:spacing w:after="200" w:before="0" w:line="264"/>
              <w:jc w:val="left"/>
            </w:pPr>
            <w:r>
              <w:rPr>
                <w:rFonts w:ascii="Calibri" w:cs="Calibri" w:eastAsia="Calibri" w:hAnsi="Calibri"/>
                <w:b/>
                <w:bCs/>
                <w:i w:val="false"/>
                <w:iCs w:val="false"/>
                <w:color w:val="222222"/>
                <w:sz w:val="21"/>
                <w:szCs w:val="21"/>
              </w:rPr>
              <w:t xml:space="preserve">L’associé (CFO)</w:t>
            </w:r>
          </w:p>
          <w:p>
            <w:pPr>
              <w:spacing w:after="0" w:before="0" w:line="264"/>
              <w:jc w:val="left"/>
            </w:pPr>
            <w:r>
              <w:rPr>
                <w:rFonts w:ascii="Calibri" w:cs="Calibri" w:eastAsia="Calibri" w:hAnsi="Calibri"/>
                <w:b w:val="false"/>
                <w:bCs w:val="false"/>
                <w:i w:val="false"/>
                <w:iCs w:val="false"/>
                <w:color w:val="222222"/>
                <w:sz w:val="21"/>
                <w:szCs w:val="21"/>
              </w:rPr>
              <w:t xml:space="preserve">____________________</w:t>
            </w:r>
          </w:p>
        </w:tc>
        <w:tc>
          <w:tcPr>
            <w:tcW w:type="dxa" w:w="3120"/>
            <w:shd w:fill="F2F3F5" w:color="auto" w:val="clear"/>
            <w:tcMar>
              <w:top w:type="dxa" w:w="60"/>
              <w:left w:type="dxa" w:w="100"/>
              <w:bottom w:type="dxa" w:w="60"/>
              <w:right w:type="dxa" w:w="100"/>
            </w:tcMar>
            <w:vAlign w:val="center"/>
          </w:tcPr>
          <w:p>
            <w:pPr>
              <w:spacing w:after="200" w:before="0" w:line="264"/>
              <w:jc w:val="left"/>
            </w:pPr>
            <w:r>
              <w:rPr>
                <w:rFonts w:ascii="Calibri" w:cs="Calibri" w:eastAsia="Calibri" w:hAnsi="Calibri"/>
                <w:b/>
                <w:bCs/>
                <w:i w:val="false"/>
                <w:iCs w:val="false"/>
                <w:color w:val="222222"/>
                <w:sz w:val="21"/>
                <w:szCs w:val="21"/>
              </w:rPr>
              <w:t xml:space="preserve">L’associé (CTO)</w:t>
            </w:r>
          </w:p>
          <w:p>
            <w:pPr>
              <w:spacing w:after="0" w:before="0" w:line="264"/>
              <w:jc w:val="left"/>
            </w:pPr>
            <w:r>
              <w:rPr>
                <w:rFonts w:ascii="Calibri" w:cs="Calibri" w:eastAsia="Calibri" w:hAnsi="Calibri"/>
                <w:b w:val="false"/>
                <w:bCs w:val="false"/>
                <w:i w:val="false"/>
                <w:iCs w:val="false"/>
                <w:color w:val="222222"/>
                <w:sz w:val="21"/>
                <w:szCs w:val="21"/>
              </w:rPr>
              <w:t xml:space="preserve">____________________</w:t>
            </w:r>
          </w:p>
        </w:tc>
      </w:tr>
    </w:tbl>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CE1" w:sz="6" w:space="4"/>
      </w:pBdr>
      <w:spacing w:before="60"/>
      <w:jc w:val="center"/>
    </w:pPr>
    <w:r>
      <w:rPr>
        <w:rFonts w:ascii="Calibri" w:cs="Calibri" w:eastAsia="Calibri" w:hAnsi="Calibri"/>
        <w:color w:val="5A5A5A"/>
        <w:sz w:val="15"/>
        <w:szCs w:val="15"/>
      </w:rPr>
      <w:t xml:space="preserve">Compte rendu de réunion — PME360 · SITIAME Capital · Confidentiel    |    Page </w:t>
    </w:r>
    <w:r>
      <w:rPr>
        <w:rFonts w:ascii="Calibri" w:cs="Calibri" w:eastAsia="Calibri" w:hAnsi="Calibri"/>
        <w:color w:val="5A5A5A"/>
        <w:sz w:val="15"/>
        <w:szCs w:val="15"/>
      </w:rPr>
      <w:fldChar w:fldCharType="begin"/>
      <w:instrText xml:space="preserve">PAGE</w:instrText>
      <w:fldChar w:fldCharType="separate"/>
      <w:fldChar w:fldCharType="end"/>
    </w:r>
    <w:r>
      <w:rPr>
        <w:rFonts w:ascii="Calibri" w:cs="Calibri" w:eastAsia="Calibri" w:hAnsi="Calibri"/>
        <w:color w:val="5A5A5A"/>
        <w:sz w:val="15"/>
        <w:szCs w:val="15"/>
      </w:rPr>
      <w:t xml:space="preserve"> / </w:t>
    </w:r>
    <w:r>
      <w:rPr>
        <w:rFonts w:ascii="Calibri" w:cs="Calibri" w:eastAsia="Calibri" w:hAnsi="Calibri"/>
        <w:color w:val="5A5A5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C8A24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 rendu de réunion — PME360</dc:title>
  <dc:creator>SITIAME CAPITAL</dc:creator>
  <cp:lastModifiedBy>Un-named</cp:lastModifiedBy>
  <cp:revision>1</cp:revision>
  <dcterms:created xsi:type="dcterms:W3CDTF">2026-07-13T23:20:10.195Z</dcterms:created>
  <dcterms:modified xsi:type="dcterms:W3CDTF">2026-07-13T23:20:10.209Z</dcterms:modified>
</cp:coreProperties>
</file>

<file path=docProps/custom.xml><?xml version="1.0" encoding="utf-8"?>
<Properties xmlns="http://schemas.openxmlformats.org/officeDocument/2006/custom-properties" xmlns:vt="http://schemas.openxmlformats.org/officeDocument/2006/docPropsVTypes"/>
</file>