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Highlights</w:t>
      </w:r>
    </w:p>
    <w:p>
      <w:pPr>
        <w:pStyle w:val="ListBullet"/>
        <w:keepLines/>
        <w:spacing w:line="480" w:lineRule="auto" w:after="160"/>
      </w:pPr>
      <w:r>
        <w:t>First symptom-positive assessments were on DOY 113-150 across six site-years.</w:t>
      </w:r>
    </w:p>
    <w:p>
      <w:pPr>
        <w:pStyle w:val="ListBullet"/>
        <w:keepLines/>
        <w:spacing w:line="480" w:lineRule="auto" w:after="160"/>
      </w:pPr>
      <w:r>
        <w:t>A process model predicts symptom onset in subtropical double-cropping vineyards.</w:t>
      </w:r>
    </w:p>
    <w:p>
      <w:pPr>
        <w:pStyle w:val="ListBullet"/>
        <w:keepLines/>
        <w:spacing w:line="480" w:lineRule="auto" w:after="160"/>
      </w:pPr>
      <w:r>
        <w:t>FSIM-S reduced validation MAE from 5.67 to 3.83 days.</w:t>
      </w:r>
    </w:p>
    <w:p>
      <w:pPr>
        <w:pStyle w:val="ListBullet"/>
        <w:keepLines/>
        <w:spacing w:line="480" w:lineRule="auto" w:after="160"/>
      </w:pPr>
      <w:r>
        <w:t>Mean symptom-window midpoints: DOY 130.4 (table grapes) and 136.3 (wine grapes).</w:t>
      </w:r>
    </w:p>
    <w:p>
      <w:pPr>
        <w:pStyle w:val="ListBullet"/>
        <w:keepLines/>
        <w:spacing w:line="480" w:lineRule="auto" w:after="160"/>
      </w:pPr>
      <w:r>
        <w:t>Scenario means: 3.5 (table) and 4.0 (wine) potentially avoidable sprays per season.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320" w:line="240" w:lineRule="auto"/>
      <w:contextualSpacing/>
    </w:pPr>
    <w:rPr>
      <w:rFonts w:ascii="Times New Roman" w:hAnsi="Times New Roman" w:eastAsia="Times New Roman" w:cs="Times New Roman"/>
      <w:b/>
      <w:color w:val="000000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dc:subject>Grapevine downy mildew modelling and potential fungicide savings</dc:subject>
  <dc:creator>Gang Zhao</dc:creator>
  <cp:keywords>Pest Management Science, highlights, grapevine downy mildew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