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4C6FD1" w14:textId="77777777" w:rsidR="00B350F7" w:rsidRPr="001A38C8" w:rsidRDefault="00000000">
      <w:pPr>
        <w:pStyle w:val="Title"/>
        <w:spacing w:after="300" w:line="276" w:lineRule="auto"/>
        <w:rPr>
          <w:rFonts w:ascii="Times New Roman" w:hAnsi="Times New Roman" w:cs="Times New Roman"/>
        </w:rPr>
      </w:pPr>
      <w:r w:rsidRPr="001A38C8">
        <w:rPr>
          <w:rFonts w:ascii="Times New Roman" w:hAnsi="Times New Roman" w:cs="Times New Roman"/>
        </w:rPr>
        <w:t>Process-based modelling of grapevine downy mildew symptom onset and potential fungicide savings in subtropical double-cropping vineyards</w:t>
      </w:r>
    </w:p>
    <w:p w14:paraId="036A5E2D" w14:textId="77777777" w:rsidR="00B350F7" w:rsidRPr="001A38C8" w:rsidRDefault="00000000">
      <w:pPr>
        <w:pStyle w:val="FirstParagraph"/>
        <w:spacing w:after="140" w:line="276" w:lineRule="auto"/>
        <w:rPr>
          <w:rFonts w:cs="Times New Roman"/>
        </w:rPr>
      </w:pPr>
      <w:r w:rsidRPr="001A38C8">
        <w:rPr>
          <w:rFonts w:cs="Times New Roman"/>
          <w:b/>
          <w:bCs/>
          <w:sz w:val="21"/>
        </w:rPr>
        <w:t>Running title:</w:t>
      </w:r>
      <w:r w:rsidRPr="001A38C8">
        <w:rPr>
          <w:rFonts w:cs="Times New Roman"/>
          <w:sz w:val="21"/>
        </w:rPr>
        <w:t xml:space="preserve"> First symptom onset modelling in subtropical vineyards</w:t>
      </w:r>
    </w:p>
    <w:p w14:paraId="22AB8F22" w14:textId="77777777" w:rsidR="00B350F7" w:rsidRPr="001A38C8" w:rsidRDefault="00000000">
      <w:pPr>
        <w:pStyle w:val="BodyText"/>
        <w:spacing w:after="140" w:line="276" w:lineRule="auto"/>
        <w:rPr>
          <w:rFonts w:cs="Times New Roman"/>
        </w:rPr>
      </w:pPr>
      <w:r w:rsidRPr="001A38C8">
        <w:rPr>
          <w:rFonts w:cs="Times New Roman"/>
          <w:sz w:val="21"/>
        </w:rPr>
        <w:t xml:space="preserve">Linjia Yao </w:t>
      </w:r>
      <w:r w:rsidRPr="001A38C8">
        <w:rPr>
          <w:rFonts w:cs="Times New Roman"/>
          <w:sz w:val="21"/>
          <w:vertAlign w:val="superscript"/>
        </w:rPr>
        <w:t>a #</w:t>
      </w:r>
      <w:r w:rsidRPr="001A38C8">
        <w:rPr>
          <w:rFonts w:cs="Times New Roman"/>
          <w:sz w:val="21"/>
        </w:rPr>
        <w:t xml:space="preserve">, Bin Chen </w:t>
      </w:r>
      <w:r w:rsidRPr="001A38C8">
        <w:rPr>
          <w:rFonts w:cs="Times New Roman"/>
          <w:sz w:val="21"/>
          <w:vertAlign w:val="superscript"/>
        </w:rPr>
        <w:t>b #</w:t>
      </w:r>
      <w:r w:rsidRPr="001A38C8">
        <w:rPr>
          <w:rFonts w:cs="Times New Roman"/>
          <w:sz w:val="21"/>
        </w:rPr>
        <w:t xml:space="preserve">, Vittorio Rossi </w:t>
      </w:r>
      <w:r w:rsidRPr="001A38C8">
        <w:rPr>
          <w:rFonts w:cs="Times New Roman"/>
          <w:sz w:val="21"/>
          <w:vertAlign w:val="superscript"/>
        </w:rPr>
        <w:t>c</w:t>
      </w:r>
      <w:r w:rsidRPr="001A38C8">
        <w:rPr>
          <w:rFonts w:cs="Times New Roman"/>
          <w:sz w:val="21"/>
        </w:rPr>
        <w:t xml:space="preserve">, Ling Yin </w:t>
      </w:r>
      <w:r w:rsidRPr="001A38C8">
        <w:rPr>
          <w:rFonts w:cs="Times New Roman"/>
          <w:sz w:val="21"/>
          <w:vertAlign w:val="superscript"/>
        </w:rPr>
        <w:t>d</w:t>
      </w:r>
      <w:r w:rsidRPr="001A38C8">
        <w:rPr>
          <w:rFonts w:cs="Times New Roman"/>
          <w:sz w:val="21"/>
        </w:rPr>
        <w:t xml:space="preserve">, Shumei Wei </w:t>
      </w:r>
      <w:r w:rsidRPr="001A38C8">
        <w:rPr>
          <w:rFonts w:cs="Times New Roman"/>
          <w:sz w:val="21"/>
          <w:vertAlign w:val="superscript"/>
        </w:rPr>
        <w:t>d</w:t>
      </w:r>
      <w:r w:rsidRPr="001A38C8">
        <w:rPr>
          <w:rFonts w:cs="Times New Roman"/>
          <w:sz w:val="21"/>
        </w:rPr>
        <w:t xml:space="preserve">, Qi Tian </w:t>
      </w:r>
      <w:r w:rsidRPr="001A38C8">
        <w:rPr>
          <w:rFonts w:cs="Times New Roman"/>
          <w:sz w:val="21"/>
          <w:vertAlign w:val="superscript"/>
        </w:rPr>
        <w:t>a</w:t>
      </w:r>
      <w:r w:rsidRPr="001A38C8">
        <w:rPr>
          <w:rFonts w:cs="Times New Roman"/>
          <w:sz w:val="21"/>
        </w:rPr>
        <w:t xml:space="preserve">, Changqing Yan </w:t>
      </w:r>
      <w:r w:rsidRPr="001A38C8">
        <w:rPr>
          <w:rFonts w:cs="Times New Roman"/>
          <w:sz w:val="21"/>
          <w:vertAlign w:val="superscript"/>
        </w:rPr>
        <w:t>e</w:t>
      </w:r>
      <w:r w:rsidRPr="001A38C8">
        <w:rPr>
          <w:rFonts w:cs="Times New Roman"/>
          <w:sz w:val="21"/>
        </w:rPr>
        <w:t xml:space="preserve">, Hui Wang </w:t>
      </w:r>
      <w:r w:rsidRPr="001A38C8">
        <w:rPr>
          <w:rFonts w:cs="Times New Roman"/>
          <w:sz w:val="21"/>
          <w:vertAlign w:val="superscript"/>
        </w:rPr>
        <w:t>f</w:t>
      </w:r>
      <w:r w:rsidRPr="001A38C8">
        <w:rPr>
          <w:rFonts w:cs="Times New Roman"/>
          <w:sz w:val="21"/>
        </w:rPr>
        <w:t xml:space="preserve">, Antonio Fernandes Nogueira Júnior </w:t>
      </w:r>
      <w:r w:rsidRPr="001A38C8">
        <w:rPr>
          <w:rFonts w:cs="Times New Roman"/>
          <w:sz w:val="21"/>
          <w:vertAlign w:val="superscript"/>
        </w:rPr>
        <w:t>g</w:t>
      </w:r>
      <w:r w:rsidRPr="001A38C8">
        <w:rPr>
          <w:rFonts w:cs="Times New Roman"/>
          <w:sz w:val="21"/>
        </w:rPr>
        <w:t xml:space="preserve">, Yu Huang </w:t>
      </w:r>
      <w:r w:rsidRPr="001A38C8">
        <w:rPr>
          <w:rFonts w:cs="Times New Roman"/>
          <w:sz w:val="21"/>
          <w:vertAlign w:val="superscript"/>
        </w:rPr>
        <w:t>h</w:t>
      </w:r>
      <w:r w:rsidRPr="001A38C8">
        <w:rPr>
          <w:rFonts w:cs="Times New Roman"/>
          <w:sz w:val="21"/>
        </w:rPr>
        <w:t xml:space="preserve">, Qiang Yu </w:t>
      </w:r>
      <w:r w:rsidRPr="001A38C8">
        <w:rPr>
          <w:rFonts w:cs="Times New Roman"/>
          <w:sz w:val="21"/>
          <w:vertAlign w:val="superscript"/>
        </w:rPr>
        <w:t>b *</w:t>
      </w:r>
      <w:r w:rsidRPr="001A38C8">
        <w:rPr>
          <w:rFonts w:cs="Times New Roman"/>
          <w:sz w:val="21"/>
        </w:rPr>
        <w:t xml:space="preserve">, Junjie Qu </w:t>
      </w:r>
      <w:r w:rsidRPr="001A38C8">
        <w:rPr>
          <w:rFonts w:cs="Times New Roman"/>
          <w:sz w:val="21"/>
          <w:vertAlign w:val="superscript"/>
        </w:rPr>
        <w:t>d *</w:t>
      </w:r>
      <w:r w:rsidRPr="001A38C8">
        <w:rPr>
          <w:rFonts w:cs="Times New Roman"/>
          <w:sz w:val="21"/>
        </w:rPr>
        <w:t xml:space="preserve">, Gang Zhao </w:t>
      </w:r>
      <w:r w:rsidRPr="001A38C8">
        <w:rPr>
          <w:rFonts w:cs="Times New Roman"/>
          <w:sz w:val="21"/>
          <w:vertAlign w:val="superscript"/>
        </w:rPr>
        <w:t>b *</w:t>
      </w:r>
    </w:p>
    <w:p w14:paraId="2A9EDA54" w14:textId="77777777" w:rsidR="00B350F7" w:rsidRPr="001A38C8" w:rsidRDefault="00000000">
      <w:pPr>
        <w:pStyle w:val="BodyText"/>
        <w:spacing w:after="140" w:line="276" w:lineRule="auto"/>
        <w:rPr>
          <w:rFonts w:cs="Times New Roman"/>
        </w:rPr>
      </w:pPr>
      <w:r w:rsidRPr="001A38C8">
        <w:rPr>
          <w:rFonts w:cs="Times New Roman"/>
          <w:sz w:val="21"/>
          <w:vertAlign w:val="superscript"/>
        </w:rPr>
        <w:t>a</w:t>
      </w:r>
      <w:r w:rsidRPr="001A38C8">
        <w:rPr>
          <w:rFonts w:cs="Times New Roman"/>
          <w:sz w:val="21"/>
        </w:rPr>
        <w:t xml:space="preserve"> College of Natural Resources and Environment, Northwest A &amp; F University, Yangling 712100, China</w:t>
      </w:r>
    </w:p>
    <w:p w14:paraId="2B2A8D3A" w14:textId="77777777" w:rsidR="00B350F7" w:rsidRPr="001A38C8" w:rsidRDefault="00000000">
      <w:pPr>
        <w:pStyle w:val="BodyText"/>
        <w:spacing w:after="140" w:line="276" w:lineRule="auto"/>
        <w:rPr>
          <w:rFonts w:cs="Times New Roman"/>
        </w:rPr>
      </w:pPr>
      <w:r w:rsidRPr="001A38C8">
        <w:rPr>
          <w:rFonts w:cs="Times New Roman"/>
          <w:sz w:val="21"/>
          <w:vertAlign w:val="superscript"/>
        </w:rPr>
        <w:t>b</w:t>
      </w:r>
      <w:r w:rsidRPr="001A38C8">
        <w:rPr>
          <w:rFonts w:cs="Times New Roman"/>
          <w:sz w:val="21"/>
        </w:rPr>
        <w:t xml:space="preserve"> State Key Laboratory of Soil and Water Conservation and Desertification Control, College of Soil and Water Conservation Science and Engineering, Northwest A&amp;F University, Yangling, Shaanxi 712100, China</w:t>
      </w:r>
    </w:p>
    <w:p w14:paraId="1A78B334" w14:textId="77777777" w:rsidR="00B350F7" w:rsidRPr="001A38C8" w:rsidRDefault="00000000">
      <w:pPr>
        <w:pStyle w:val="BodyText"/>
        <w:spacing w:after="140" w:line="276" w:lineRule="auto"/>
        <w:rPr>
          <w:rFonts w:cs="Times New Roman"/>
        </w:rPr>
      </w:pPr>
      <w:r w:rsidRPr="001A38C8">
        <w:rPr>
          <w:rFonts w:cs="Times New Roman"/>
          <w:sz w:val="21"/>
          <w:vertAlign w:val="superscript"/>
        </w:rPr>
        <w:t>c</w:t>
      </w:r>
      <w:r w:rsidRPr="001A38C8">
        <w:rPr>
          <w:rFonts w:cs="Times New Roman"/>
          <w:sz w:val="21"/>
        </w:rPr>
        <w:t xml:space="preserve"> Research centre on Plant Health Modelling (PHEM), Università Cattolica del Sacro Cuore, Piacenza, Italy</w:t>
      </w:r>
    </w:p>
    <w:p w14:paraId="237F9028" w14:textId="77777777" w:rsidR="00B350F7" w:rsidRPr="001A38C8" w:rsidRDefault="00000000">
      <w:pPr>
        <w:pStyle w:val="BodyText"/>
        <w:spacing w:after="140" w:line="276" w:lineRule="auto"/>
        <w:rPr>
          <w:rFonts w:cs="Times New Roman"/>
        </w:rPr>
      </w:pPr>
      <w:r w:rsidRPr="001A38C8">
        <w:rPr>
          <w:rFonts w:cs="Times New Roman"/>
          <w:sz w:val="21"/>
          <w:vertAlign w:val="superscript"/>
        </w:rPr>
        <w:t>d</w:t>
      </w:r>
      <w:r w:rsidRPr="001A38C8">
        <w:rPr>
          <w:rFonts w:cs="Times New Roman"/>
          <w:sz w:val="21"/>
        </w:rPr>
        <w:t xml:space="preserve"> Guangxi Crop Genetic Improvement and Biotechnology Key Lab, Guangxi Academy of Agricultural Sciences, Nanning 530007, China</w:t>
      </w:r>
    </w:p>
    <w:p w14:paraId="6FCA2632" w14:textId="77777777" w:rsidR="00B350F7" w:rsidRPr="001A38C8" w:rsidRDefault="00000000">
      <w:pPr>
        <w:pStyle w:val="BodyText"/>
        <w:spacing w:after="140" w:line="276" w:lineRule="auto"/>
        <w:rPr>
          <w:rFonts w:cs="Times New Roman"/>
        </w:rPr>
      </w:pPr>
      <w:r w:rsidRPr="001A38C8">
        <w:rPr>
          <w:rFonts w:cs="Times New Roman"/>
          <w:sz w:val="21"/>
          <w:vertAlign w:val="superscript"/>
        </w:rPr>
        <w:t>e</w:t>
      </w:r>
      <w:r w:rsidRPr="001A38C8">
        <w:rPr>
          <w:rFonts w:cs="Times New Roman"/>
          <w:sz w:val="21"/>
        </w:rPr>
        <w:t xml:space="preserve"> College of Intelligent Equipment, Shandong University of Science and Technology, Taian 271019, China</w:t>
      </w:r>
    </w:p>
    <w:p w14:paraId="392839EF" w14:textId="77777777" w:rsidR="00B350F7" w:rsidRPr="001A38C8" w:rsidRDefault="00000000">
      <w:pPr>
        <w:pStyle w:val="BodyText"/>
        <w:spacing w:after="140" w:line="276" w:lineRule="auto"/>
        <w:rPr>
          <w:rFonts w:cs="Times New Roman"/>
        </w:rPr>
      </w:pPr>
      <w:r w:rsidRPr="001A38C8">
        <w:rPr>
          <w:rFonts w:cs="Times New Roman"/>
          <w:sz w:val="21"/>
          <w:vertAlign w:val="superscript"/>
        </w:rPr>
        <w:t>f</w:t>
      </w:r>
      <w:r w:rsidRPr="001A38C8">
        <w:rPr>
          <w:rFonts w:cs="Times New Roman"/>
          <w:sz w:val="21"/>
        </w:rPr>
        <w:t xml:space="preserve"> Institute of Plant Protection Beijing Academy of Agriculture and Forestry Sciences, 100097 Beijing, China</w:t>
      </w:r>
    </w:p>
    <w:p w14:paraId="574363B5" w14:textId="77777777" w:rsidR="00B350F7" w:rsidRPr="001A38C8" w:rsidRDefault="00000000">
      <w:pPr>
        <w:pStyle w:val="BodyText"/>
        <w:spacing w:after="140" w:line="276" w:lineRule="auto"/>
        <w:rPr>
          <w:rFonts w:cs="Times New Roman"/>
        </w:rPr>
      </w:pPr>
      <w:r w:rsidRPr="001A38C8">
        <w:rPr>
          <w:rFonts w:cs="Times New Roman"/>
          <w:sz w:val="21"/>
          <w:vertAlign w:val="superscript"/>
        </w:rPr>
        <w:t>g</w:t>
      </w:r>
      <w:r w:rsidRPr="001A38C8">
        <w:rPr>
          <w:rFonts w:cs="Times New Roman"/>
          <w:sz w:val="21"/>
        </w:rPr>
        <w:t xml:space="preserve"> KWS SAAT SE &amp; Co. KGaA, Einbeck, Germany</w:t>
      </w:r>
    </w:p>
    <w:p w14:paraId="4F550772" w14:textId="77777777" w:rsidR="00B350F7" w:rsidRPr="001A38C8" w:rsidRDefault="00000000">
      <w:pPr>
        <w:pStyle w:val="BodyText"/>
        <w:spacing w:after="140" w:line="276" w:lineRule="auto"/>
        <w:rPr>
          <w:rFonts w:cs="Times New Roman"/>
        </w:rPr>
      </w:pPr>
      <w:r w:rsidRPr="001A38C8">
        <w:rPr>
          <w:rFonts w:cs="Times New Roman"/>
          <w:sz w:val="21"/>
          <w:vertAlign w:val="superscript"/>
        </w:rPr>
        <w:t>h</w:t>
      </w:r>
      <w:r w:rsidRPr="001A38C8">
        <w:rPr>
          <w:rFonts w:cs="Times New Roman"/>
          <w:sz w:val="21"/>
        </w:rPr>
        <w:t xml:space="preserve"> Grape and Wine Research Institute, Guangxi Academy of Agricultural Sciences, Nanning, Guangxi 530007, China</w:t>
      </w:r>
    </w:p>
    <w:p w14:paraId="0C0B8173" w14:textId="77777777" w:rsidR="00B350F7" w:rsidRPr="001A38C8" w:rsidRDefault="00000000">
      <w:pPr>
        <w:pStyle w:val="BodyText"/>
        <w:spacing w:after="140" w:line="276" w:lineRule="auto"/>
        <w:rPr>
          <w:rFonts w:cs="Times New Roman"/>
        </w:rPr>
      </w:pPr>
      <w:r w:rsidRPr="001A38C8">
        <w:rPr>
          <w:rFonts w:cs="Times New Roman"/>
          <w:b/>
          <w:bCs/>
          <w:sz w:val="21"/>
        </w:rPr>
        <w:t>* Corresponding author:</w:t>
      </w:r>
      <w:r w:rsidRPr="001A38C8">
        <w:rPr>
          <w:rFonts w:cs="Times New Roman"/>
          <w:sz w:val="21"/>
        </w:rPr>
        <w:t xml:space="preserve"> Prof. Qiang Yu, E-mail: </w:t>
      </w:r>
      <w:hyperlink r:id="rId7">
        <w:r w:rsidR="00B350F7" w:rsidRPr="001A38C8">
          <w:rPr>
            <w:rStyle w:val="VerbatimChar"/>
            <w:rFonts w:ascii="Times New Roman" w:hAnsi="Times New Roman" w:cs="Times New Roman"/>
          </w:rPr>
          <w:t>yuq@nwafu.edu.cn</w:t>
        </w:r>
      </w:hyperlink>
      <w:r w:rsidRPr="001A38C8">
        <w:rPr>
          <w:rFonts w:cs="Times New Roman"/>
          <w:sz w:val="21"/>
        </w:rPr>
        <w:t xml:space="preserve">; Prof. Junjie Qu, E-mail: </w:t>
      </w:r>
      <w:hyperlink r:id="rId8">
        <w:r w:rsidR="00B350F7" w:rsidRPr="001A38C8">
          <w:rPr>
            <w:rStyle w:val="VerbatimChar"/>
            <w:rFonts w:ascii="Times New Roman" w:hAnsi="Times New Roman" w:cs="Times New Roman"/>
          </w:rPr>
          <w:t>qujunjie@gxaas.net</w:t>
        </w:r>
      </w:hyperlink>
      <w:r w:rsidRPr="001A38C8">
        <w:rPr>
          <w:rFonts w:cs="Times New Roman"/>
          <w:sz w:val="21"/>
        </w:rPr>
        <w:t>; Prof. Gang Zhao, E-mail: gang.zhao@nwafu.edu.cn</w:t>
      </w:r>
    </w:p>
    <w:p w14:paraId="3071D4DF" w14:textId="77777777" w:rsidR="00B350F7" w:rsidRPr="001A38C8" w:rsidRDefault="00000000">
      <w:pPr>
        <w:pStyle w:val="BodyText"/>
        <w:spacing w:after="140" w:line="276" w:lineRule="auto"/>
        <w:rPr>
          <w:rFonts w:cs="Times New Roman"/>
        </w:rPr>
      </w:pPr>
      <w:r w:rsidRPr="001A38C8">
        <w:rPr>
          <w:rFonts w:cs="Times New Roman"/>
          <w:b/>
          <w:bCs/>
          <w:sz w:val="21"/>
          <w:vertAlign w:val="superscript"/>
        </w:rPr>
        <w:t>#</w:t>
      </w:r>
      <w:r w:rsidRPr="001A38C8">
        <w:rPr>
          <w:rFonts w:cs="Times New Roman"/>
          <w:b/>
          <w:bCs/>
          <w:sz w:val="21"/>
        </w:rPr>
        <w:t xml:space="preserve"> These authors contributed equally to this work.</w:t>
      </w:r>
    </w:p>
    <w:p w14:paraId="1A003C6A" w14:textId="77777777" w:rsidR="00B350F7" w:rsidRPr="001A38C8" w:rsidRDefault="00000000">
      <w:pPr>
        <w:pStyle w:val="Heading1"/>
        <w:pageBreakBefore/>
        <w:rPr>
          <w:rFonts w:ascii="Times New Roman" w:hAnsi="Times New Roman" w:cs="Times New Roman"/>
        </w:rPr>
      </w:pPr>
      <w:bookmarkStart w:id="0" w:name="abstract"/>
      <w:r w:rsidRPr="001A38C8">
        <w:rPr>
          <w:rFonts w:ascii="Times New Roman" w:hAnsi="Times New Roman" w:cs="Times New Roman"/>
        </w:rPr>
        <w:lastRenderedPageBreak/>
        <w:t>Abstract</w:t>
      </w:r>
    </w:p>
    <w:p w14:paraId="161A7A57" w14:textId="77777777" w:rsidR="00B350F7" w:rsidRPr="001A38C8" w:rsidRDefault="00000000">
      <w:pPr>
        <w:pStyle w:val="FirstParagraph"/>
        <w:rPr>
          <w:rFonts w:cs="Times New Roman"/>
        </w:rPr>
      </w:pPr>
      <w:r w:rsidRPr="001A38C8">
        <w:rPr>
          <w:rFonts w:cs="Times New Roman"/>
          <w:b/>
          <w:bCs/>
        </w:rPr>
        <w:t>BACKGROUND:</w:t>
      </w:r>
      <w:r w:rsidRPr="001A38C8">
        <w:rPr>
          <w:rFonts w:cs="Times New Roman"/>
        </w:rPr>
        <w:t xml:space="preserve"> Double cropping of grapevines (</w:t>
      </w:r>
      <w:r w:rsidRPr="001A38C8">
        <w:rPr>
          <w:rFonts w:cs="Times New Roman"/>
          <w:i/>
          <w:iCs/>
        </w:rPr>
        <w:t>Vitis</w:t>
      </w:r>
      <w:r w:rsidRPr="001A38C8">
        <w:rPr>
          <w:rFonts w:cs="Times New Roman"/>
        </w:rPr>
        <w:t xml:space="preserve"> L.) in humid subtropical vineyards can maintain green host tissue across production cycles, allowing asexual inoculum of </w:t>
      </w:r>
      <w:r w:rsidRPr="001A38C8">
        <w:rPr>
          <w:rFonts w:cs="Times New Roman"/>
          <w:i/>
          <w:iCs/>
        </w:rPr>
        <w:t>Plasmopara viticola</w:t>
      </w:r>
      <w:r w:rsidRPr="001A38C8">
        <w:rPr>
          <w:rFonts w:cs="Times New Roman"/>
        </w:rPr>
        <w:t xml:space="preserve"> (Berk. &amp; M.A. Curtis) Berl. &amp; De Toni to remain available. Models developed for oospore-driven seasonal initiation do not fully represent this setting. The First Seasonal Infection Model (FSIM) was developed to link airborne sporangial inoculum, weather and host development to first symptom-onset windows during the first crop growing season. A spore-constrained extension (FSIM-S) incorporated field monitoring.</w:t>
      </w:r>
    </w:p>
    <w:p w14:paraId="10D40831" w14:textId="77777777" w:rsidR="00B350F7" w:rsidRPr="001A38C8" w:rsidRDefault="00000000">
      <w:pPr>
        <w:pStyle w:val="BodyText"/>
        <w:rPr>
          <w:rFonts w:cs="Times New Roman"/>
        </w:rPr>
      </w:pPr>
      <w:r w:rsidRPr="001A38C8">
        <w:rPr>
          <w:rFonts w:cs="Times New Roman"/>
          <w:b/>
          <w:bCs/>
        </w:rPr>
        <w:t>RESULTS:</w:t>
      </w:r>
      <w:r w:rsidRPr="001A38C8">
        <w:rPr>
          <w:rFonts w:cs="Times New Roman"/>
        </w:rPr>
        <w:t xml:space="preserve"> Across six site–years in Guangxi, China (2022–2024), sporangia were detected 9–43 days before the first symptom-positive assessment. Leave-one-site–year-out cross-validation yielded interval-based mean absolute errors of 5.67 days for FSIM and 3.83 days for FSIM-S, a 32.4% reduction. Regional FSIM simulations for 2000–2024 showed earlier mean onset in eastern and southeastern Guangxi and later onset in the west and northwest. Grid-cell mean symptom-window midpoints averaged day of year 130.4 and 136.3 under the table- and wine-grape scenarios, respectively. Potential savings across all grids relative to the reference spray programme averaged 3.5 and 4.0 early applications per season, respectively.</w:t>
      </w:r>
    </w:p>
    <w:p w14:paraId="314AF633" w14:textId="77777777" w:rsidR="00B350F7" w:rsidRPr="001A38C8" w:rsidRDefault="00000000">
      <w:pPr>
        <w:pStyle w:val="BodyText"/>
        <w:rPr>
          <w:rFonts w:cs="Times New Roman"/>
        </w:rPr>
      </w:pPr>
      <w:r w:rsidRPr="001A38C8">
        <w:rPr>
          <w:rFonts w:cs="Times New Roman"/>
          <w:b/>
          <w:bCs/>
        </w:rPr>
        <w:t>CONCLUSION:</w:t>
      </w:r>
      <w:r w:rsidRPr="001A38C8">
        <w:rPr>
          <w:rFonts w:cs="Times New Roman"/>
        </w:rPr>
        <w:t xml:space="preserve"> Representing airborne sporangial inoculum supports modelling of first symptom onset under subtropical double cropping, with spore monitoring improving predictive performance. Prospective field evaluation is needed to confirm whether the estimated fungicide savings can be achieved while maintaining disease control. The framework provides a basis for adapting early-season protection to local disease risk and crop development.</w:t>
      </w:r>
    </w:p>
    <w:p w14:paraId="23D3D76C" w14:textId="77777777" w:rsidR="00B350F7" w:rsidRPr="001A38C8" w:rsidRDefault="00000000">
      <w:pPr>
        <w:pStyle w:val="BodyText"/>
        <w:rPr>
          <w:rFonts w:cs="Times New Roman"/>
        </w:rPr>
      </w:pPr>
      <w:r w:rsidRPr="001A38C8">
        <w:rPr>
          <w:rFonts w:cs="Times New Roman"/>
          <w:b/>
          <w:bCs/>
        </w:rPr>
        <w:t>Keywords:</w:t>
      </w:r>
      <w:r w:rsidRPr="001A38C8">
        <w:rPr>
          <w:rFonts w:cs="Times New Roman"/>
        </w:rPr>
        <w:t xml:space="preserve"> Agroclimatic modelling; Airborne sporangia; Disease-onset estimation; Fungicide timing; Subtropical viticulture</w:t>
      </w:r>
    </w:p>
    <w:p w14:paraId="10FC1C5C" w14:textId="77777777" w:rsidR="00B350F7" w:rsidRPr="001A38C8" w:rsidRDefault="00000000">
      <w:pPr>
        <w:pStyle w:val="Heading1"/>
        <w:rPr>
          <w:rFonts w:ascii="Times New Roman" w:hAnsi="Times New Roman" w:cs="Times New Roman"/>
        </w:rPr>
      </w:pPr>
      <w:bookmarkStart w:id="1" w:name="introduction"/>
      <w:bookmarkEnd w:id="0"/>
      <w:r w:rsidRPr="001A38C8">
        <w:rPr>
          <w:rFonts w:ascii="Times New Roman" w:hAnsi="Times New Roman" w:cs="Times New Roman"/>
        </w:rPr>
        <w:lastRenderedPageBreak/>
        <w:t>1 INTRODUCTION</w:t>
      </w:r>
    </w:p>
    <w:p w14:paraId="32D8ABE5" w14:textId="77777777" w:rsidR="00B350F7" w:rsidRPr="001A38C8" w:rsidRDefault="00000000">
      <w:pPr>
        <w:pStyle w:val="FirstParagraph"/>
        <w:rPr>
          <w:rFonts w:cs="Times New Roman"/>
        </w:rPr>
      </w:pPr>
      <w:r w:rsidRPr="001A38C8">
        <w:rPr>
          <w:rFonts w:cs="Times New Roman"/>
        </w:rPr>
        <w:t>Grapevine (</w:t>
      </w:r>
      <w:r w:rsidRPr="001A38C8">
        <w:rPr>
          <w:rFonts w:cs="Times New Roman"/>
          <w:i/>
          <w:iCs/>
        </w:rPr>
        <w:t>Vitis</w:t>
      </w:r>
      <w:r w:rsidRPr="001A38C8">
        <w:rPr>
          <w:rFonts w:cs="Times New Roman"/>
        </w:rPr>
        <w:t xml:space="preserve"> L.) downy mildew, caused by </w:t>
      </w:r>
      <w:r w:rsidRPr="001A38C8">
        <w:rPr>
          <w:rFonts w:cs="Times New Roman"/>
          <w:i/>
          <w:iCs/>
        </w:rPr>
        <w:t>Plasmopara viticola</w:t>
      </w:r>
      <w:r w:rsidRPr="001A38C8">
        <w:rPr>
          <w:rFonts w:cs="Times New Roman"/>
        </w:rPr>
        <w:t xml:space="preserve"> (Berk. &amp; M.A. Curtis) Berl. &amp; De Toni, threatens production in humid subtropical regions, where warm, rainy conditions coincide with the emergence of susceptible leaves and development of inflorescences.</w:t>
      </w:r>
      <w:hyperlink w:anchor="Reference_01" w:history="1">
        <w:r>
          <w:rPr>
            <w:rFonts w:cs="Times New Roman"/>
            <w:vertAlign w:val="superscript"/>
          </w:rPr>
          <w:t>1</w:t>
        </w:r>
      </w:hyperlink>
      <w:r>
        <w:rPr>
          <w:rFonts w:cs="Times New Roman"/>
          <w:vertAlign w:val="superscript"/>
        </w:rPr>
        <w:t>,</w:t>
      </w:r>
      <w:hyperlink w:anchor="Reference_02" w:history="1">
        <w:r>
          <w:rPr>
            <w:rFonts w:cs="Times New Roman"/>
            <w:vertAlign w:val="superscript"/>
          </w:rPr>
          <w:t>2</w:t>
        </w:r>
      </w:hyperlink>
      <w:r w:rsidRPr="001A38C8">
        <w:rPr>
          <w:rFonts w:cs="Times New Roman"/>
        </w:rPr>
        <w:t xml:space="preserve"> Epidemics can impair canopy photosynthesis, damage inflorescences and berries, and cause substantial yield loss.</w:t>
      </w:r>
      <w:hyperlink w:anchor="Reference_03" w:history="1">
        <w:r>
          <w:rPr>
            <w:rFonts w:cs="Times New Roman"/>
            <w:vertAlign w:val="superscript"/>
          </w:rPr>
          <w:t>3</w:t>
        </w:r>
      </w:hyperlink>
      <w:r w:rsidRPr="001A38C8">
        <w:rPr>
          <w:rFonts w:cs="Times New Roman"/>
        </w:rPr>
        <w:t xml:space="preserve"> Disease control depends heavily on repeated preventive fungicide applications. </w:t>
      </w:r>
      <w:hyperlink w:anchor="Reference_04" w:history="1">
        <w:r>
          <w:rPr>
            <w:rFonts w:cs="Times New Roman"/>
            <w:vertAlign w:val="superscript"/>
          </w:rPr>
          <w:t>4</w:t>
        </w:r>
      </w:hyperlink>
      <w:r>
        <w:rPr>
          <w:rFonts w:cs="Times New Roman"/>
          <w:vertAlign w:val="superscript"/>
        </w:rPr>
        <w:t>,</w:t>
      </w:r>
      <w:hyperlink w:anchor="Reference_05" w:history="1">
        <w:r>
          <w:rPr>
            <w:rFonts w:cs="Times New Roman"/>
            <w:vertAlign w:val="superscript"/>
          </w:rPr>
          <w:t>5</w:t>
        </w:r>
      </w:hyperlink>
      <w:r w:rsidRPr="001A38C8">
        <w:rPr>
          <w:rFonts w:cs="Times New Roman"/>
        </w:rPr>
        <w:t xml:space="preserve"> Timing based on calendar schedules, grower experience or qualitative weather cues may be poorly aligned with infection risk. Understanding when inoculum can establish infection is therefore central to protecting susceptible tissue before symptoms appear. Preventive management based on infection risk requires joint consideration of inoculum availability, host susceptibility and environmental suitability.</w:t>
      </w:r>
      <w:hyperlink w:anchor="Reference_06" w:history="1">
        <w:r>
          <w:rPr>
            <w:rFonts w:cs="Times New Roman"/>
            <w:vertAlign w:val="superscript"/>
          </w:rPr>
          <w:t>6</w:t>
        </w:r>
      </w:hyperlink>
    </w:p>
    <w:p w14:paraId="3D474C0E" w14:textId="77777777" w:rsidR="00B350F7" w:rsidRPr="001A38C8" w:rsidRDefault="00000000">
      <w:pPr>
        <w:pStyle w:val="BodyText"/>
        <w:rPr>
          <w:rFonts w:cs="Times New Roman"/>
        </w:rPr>
      </w:pPr>
      <w:r w:rsidRPr="001A38C8">
        <w:rPr>
          <w:rFonts w:cs="Times New Roman"/>
        </w:rPr>
        <w:t>Empirical models such as the “3–10 rule” and the Etat Potentiel d’Infection (EPI) model use weather and phenological indicators to guide control timing.</w:t>
      </w:r>
      <w:hyperlink w:anchor="Reference_07" w:history="1">
        <w:r>
          <w:rPr>
            <w:rFonts w:cs="Times New Roman"/>
            <w:vertAlign w:val="superscript"/>
          </w:rPr>
          <w:t>7</w:t>
        </w:r>
      </w:hyperlink>
      <w:r w:rsidRPr="001A38C8">
        <w:rPr>
          <w:rFonts w:cs="Times New Roman"/>
        </w:rPr>
        <w:t xml:space="preserve"> They do not resolve the biological sequence from inoculum availability to symptom appearance. Process-based models provide a more explicit representation by linking the inoculum source, spore maturation or production, dispersal, deposition, zoospore release, infection and incubation.</w:t>
      </w:r>
      <w:hyperlink w:anchor="Reference_08" w:history="1">
        <w:r>
          <w:rPr>
            <w:rFonts w:cs="Times New Roman"/>
            <w:vertAlign w:val="superscript"/>
          </w:rPr>
          <w:t>8</w:t>
        </w:r>
      </w:hyperlink>
      <w:r>
        <w:rPr>
          <w:rFonts w:cs="Times New Roman"/>
          <w:vertAlign w:val="superscript"/>
        </w:rPr>
        <w:t>–</w:t>
      </w:r>
      <w:hyperlink w:anchor="Reference_10" w:history="1">
        <w:r>
          <w:rPr>
            <w:rFonts w:cs="Times New Roman"/>
            <w:vertAlign w:val="superscript"/>
          </w:rPr>
          <w:t>10</w:t>
        </w:r>
      </w:hyperlink>
      <w:r w:rsidRPr="001A38C8">
        <w:rPr>
          <w:rFonts w:cs="Times New Roman"/>
        </w:rPr>
        <w:t xml:space="preserve"> Rossi et al.</w:t>
      </w:r>
      <w:hyperlink w:anchor="Reference_08" w:history="1">
        <w:r>
          <w:rPr>
            <w:rFonts w:cs="Times New Roman"/>
            <w:vertAlign w:val="superscript"/>
          </w:rPr>
          <w:t>8</w:t>
        </w:r>
      </w:hyperlink>
      <w:r w:rsidRPr="001A38C8">
        <w:rPr>
          <w:rFonts w:cs="Times New Roman"/>
        </w:rPr>
        <w:t xml:space="preserve"> used cohorts to represent primary infection from overwintered oospores, whereas Brischetto et al.</w:t>
      </w:r>
      <w:hyperlink w:anchor="Reference_10" w:history="1">
        <w:r>
          <w:rPr>
            <w:rFonts w:cs="Times New Roman"/>
            <w:vertAlign w:val="superscript"/>
          </w:rPr>
          <w:t>10</w:t>
        </w:r>
      </w:hyperlink>
      <w:r w:rsidRPr="001A38C8">
        <w:rPr>
          <w:rFonts w:cs="Times New Roman"/>
        </w:rPr>
        <w:t xml:space="preserve"> modelled sporangia produced on lesions and the subsequent infections. Together, these studies describe the complete sequence of infection processes with greater biological interpretability than empirical rules, but they begin from distinct inoculum states: germinating oospores or existing visible lesions.</w:t>
      </w:r>
    </w:p>
    <w:p w14:paraId="733D8315" w14:textId="77777777" w:rsidR="00B350F7" w:rsidRPr="001A38C8" w:rsidRDefault="00000000">
      <w:pPr>
        <w:pStyle w:val="BodyText"/>
        <w:rPr>
          <w:rFonts w:cs="Times New Roman"/>
        </w:rPr>
      </w:pPr>
      <w:r w:rsidRPr="001A38C8">
        <w:rPr>
          <w:rFonts w:cs="Times New Roman"/>
        </w:rPr>
        <w:t xml:space="preserve">These initial conditions do not fully represent humid subtropical vineyards. The long growing season and mild winters support commercial double cropping in southern China, including Guangxi. The first crop growing season is typically the summer cropping cycle; pruning and bud forcing after the first harvest then initiate a second crop growing season in winter. Two </w:t>
      </w:r>
      <w:r w:rsidRPr="001A38C8">
        <w:rPr>
          <w:rFonts w:cs="Times New Roman"/>
        </w:rPr>
        <w:lastRenderedPageBreak/>
        <w:t>harvests per year can increase annual yield and extend the marketing season.</w:t>
      </w:r>
      <w:hyperlink w:anchor="Reference_11" w:history="1">
        <w:r>
          <w:rPr>
            <w:rFonts w:cs="Times New Roman"/>
            <w:vertAlign w:val="superscript"/>
          </w:rPr>
          <w:t>11</w:t>
        </w:r>
      </w:hyperlink>
      <w:r>
        <w:rPr>
          <w:rFonts w:cs="Times New Roman"/>
          <w:vertAlign w:val="superscript"/>
        </w:rPr>
        <w:t>,</w:t>
      </w:r>
      <w:hyperlink w:anchor="Reference_12" w:history="1">
        <w:r>
          <w:rPr>
            <w:rFonts w:cs="Times New Roman"/>
            <w:vertAlign w:val="superscript"/>
          </w:rPr>
          <w:t>12</w:t>
        </w:r>
      </w:hyperlink>
      <w:r w:rsidRPr="001A38C8">
        <w:rPr>
          <w:rFonts w:cs="Times New Roman"/>
        </w:rPr>
        <w:t xml:space="preserve"> However, successive crops also extend the availability of green grapevine tissues, allowing the pathogen to persist on living hosts and replenish airborne sporangia through repeated asexual reproduction between cropping cycles.</w:t>
      </w:r>
      <w:hyperlink w:anchor="Reference_13" w:history="1">
        <w:r>
          <w:rPr>
            <w:rFonts w:cs="Times New Roman"/>
            <w:vertAlign w:val="superscript"/>
          </w:rPr>
          <w:t>13</w:t>
        </w:r>
      </w:hyperlink>
      <w:r w:rsidRPr="001A38C8">
        <w:rPr>
          <w:rFonts w:cs="Times New Roman"/>
        </w:rPr>
        <w:t xml:space="preserve"> This continuity contrasts with the temperate disease cycle, in which resting oospores survive winter in the absence of susceptible host tissue and germinate to provide the initial inoculum.</w:t>
      </w:r>
      <w:hyperlink w:anchor="Reference_04" w:history="1">
        <w:r>
          <w:rPr>
            <w:rFonts w:cs="Times New Roman"/>
            <w:vertAlign w:val="superscript"/>
          </w:rPr>
          <w:t>4</w:t>
        </w:r>
      </w:hyperlink>
      <w:r>
        <w:rPr>
          <w:rFonts w:cs="Times New Roman"/>
          <w:vertAlign w:val="superscript"/>
        </w:rPr>
        <w:t>,</w:t>
      </w:r>
      <w:hyperlink w:anchor="Reference_14" w:history="1">
        <w:r>
          <w:rPr>
            <w:rFonts w:cs="Times New Roman"/>
            <w:vertAlign w:val="superscript"/>
          </w:rPr>
          <w:t>14</w:t>
        </w:r>
      </w:hyperlink>
      <w:r w:rsidRPr="001A38C8">
        <w:rPr>
          <w:rFonts w:cs="Times New Roman"/>
        </w:rPr>
        <w:t xml:space="preserve"> Predominantly clonal populations, asexual persistence or limited oospore occurrence have been reported in subtropical or warm viticultural regions, including São Paulo, South Africa and most surveyed Western Australian vineyards.</w:t>
      </w:r>
      <w:hyperlink w:anchor="Reference_13" w:history="1">
        <w:r>
          <w:rPr>
            <w:rFonts w:cs="Times New Roman"/>
            <w:vertAlign w:val="superscript"/>
          </w:rPr>
          <w:t>13</w:t>
        </w:r>
      </w:hyperlink>
      <w:r>
        <w:rPr>
          <w:rFonts w:cs="Times New Roman"/>
          <w:vertAlign w:val="superscript"/>
        </w:rPr>
        <w:t>,</w:t>
      </w:r>
      <w:hyperlink w:anchor="Reference_15" w:history="1">
        <w:r>
          <w:rPr>
            <w:rFonts w:cs="Times New Roman"/>
            <w:vertAlign w:val="superscript"/>
          </w:rPr>
          <w:t>15</w:t>
        </w:r>
      </w:hyperlink>
      <w:r>
        <w:rPr>
          <w:rFonts w:cs="Times New Roman"/>
          <w:vertAlign w:val="superscript"/>
        </w:rPr>
        <w:t>,</w:t>
      </w:r>
      <w:hyperlink w:anchor="Reference_16" w:history="1">
        <w:r>
          <w:rPr>
            <w:rFonts w:cs="Times New Roman"/>
            <w:vertAlign w:val="superscript"/>
          </w:rPr>
          <w:t>16</w:t>
        </w:r>
      </w:hyperlink>
      <w:r w:rsidRPr="001A38C8">
        <w:rPr>
          <w:rFonts w:cs="Times New Roman"/>
        </w:rPr>
        <w:t xml:space="preserve"> Asexual sporangia may therefore be an important source of initial inoculum in Guangxi. Models initialized from oospores or visible local lesions do not directly represent this source before symptoms appear, leaving a gap in predicting disease onset during the first crop growing season.</w:t>
      </w:r>
    </w:p>
    <w:p w14:paraId="19DAC035" w14:textId="77777777" w:rsidR="00B350F7" w:rsidRPr="001A38C8" w:rsidRDefault="00000000">
      <w:pPr>
        <w:pStyle w:val="BodyText"/>
        <w:rPr>
          <w:rFonts w:cs="Times New Roman"/>
        </w:rPr>
      </w:pPr>
      <w:r w:rsidRPr="001A38C8">
        <w:rPr>
          <w:rFonts w:cs="Times New Roman"/>
        </w:rPr>
        <w:t>To address this gap, we conducted orchard observations and monitoring experiments in three representative vineyards in Guangxi, China, during 2022–2024. Disease-onset assessments, airborne sporangia monitoring, grapevine phenology, and meteorological records were combined to construct and validate a process-based model for estimating first visible symptom onset under the regional double-cropping system. This study design was intended to establish whether integrating recurrent airborne inoculum with weather and host phenology can provide a regionally applicable basis for identifying early disease risk and timing preventive protection, thereby supporting more efficient fungicide use and stable grape production in subtropical orchards.</w:t>
      </w:r>
    </w:p>
    <w:p w14:paraId="780C633A" w14:textId="77777777" w:rsidR="00B350F7" w:rsidRPr="001A38C8" w:rsidRDefault="00000000">
      <w:pPr>
        <w:pStyle w:val="Heading1"/>
        <w:rPr>
          <w:rFonts w:ascii="Times New Roman" w:hAnsi="Times New Roman" w:cs="Times New Roman"/>
        </w:rPr>
      </w:pPr>
      <w:bookmarkStart w:id="2" w:name="materials-and-methods"/>
      <w:bookmarkEnd w:id="1"/>
      <w:r w:rsidRPr="001A38C8">
        <w:rPr>
          <w:rFonts w:ascii="Times New Roman" w:hAnsi="Times New Roman" w:cs="Times New Roman"/>
        </w:rPr>
        <w:lastRenderedPageBreak/>
        <w:t>2 MATERIALS AND METHODS</w:t>
      </w:r>
    </w:p>
    <w:p w14:paraId="0E47AE32" w14:textId="77777777" w:rsidR="00B350F7" w:rsidRPr="001A38C8" w:rsidRDefault="00000000">
      <w:pPr>
        <w:pStyle w:val="Heading2"/>
        <w:rPr>
          <w:rFonts w:ascii="Times New Roman" w:hAnsi="Times New Roman" w:cs="Times New Roman"/>
        </w:rPr>
      </w:pPr>
      <w:bookmarkStart w:id="3" w:name="study-design-and-overall-workflow"/>
      <w:r w:rsidRPr="001A38C8">
        <w:rPr>
          <w:rFonts w:ascii="Times New Roman" w:hAnsi="Times New Roman" w:cs="Times New Roman"/>
        </w:rPr>
        <w:t>2.1 Study design and overall workflow</w:t>
      </w:r>
    </w:p>
    <w:p w14:paraId="6EF26CE2" w14:textId="77777777" w:rsidR="00B350F7" w:rsidRPr="001A38C8" w:rsidRDefault="00000000">
      <w:pPr>
        <w:pStyle w:val="FirstParagraph"/>
        <w:rPr>
          <w:rFonts w:cs="Times New Roman"/>
        </w:rPr>
      </w:pPr>
      <w:r w:rsidRPr="001A38C8">
        <w:rPr>
          <w:rFonts w:cs="Times New Roman"/>
        </w:rPr>
        <w:t>Field observations and monitoring were conducted during 2022–2024 at two commercial vineyards and one experimental site in Nanning, Guilin and Hechi, Guangxi, China. Plot-level records of grapevine phenology, dates of first visible downy mildew lesions and agronomic management were compiled alongside meteorological data and airborne sporangium observations to develop the First Seasonal Infection Model (FSIM) and its spore-constrained extension (FSIM-S) (</w:t>
      </w:r>
      <w:hyperlink w:anchor="X9382b5987218724b767875ee982b27a3655ecd1">
        <w:r w:rsidR="00B350F7" w:rsidRPr="001A38C8">
          <w:rPr>
            <w:rStyle w:val="Hyperlink"/>
            <w:rFonts w:cs="Times New Roman"/>
          </w:rPr>
          <w:t>Figure 1</w:t>
        </w:r>
      </w:hyperlink>
      <w:r w:rsidRPr="001A38C8">
        <w:rPr>
          <w:rFonts w:cs="Times New Roman"/>
        </w:rPr>
        <w:t>).</w:t>
      </w:r>
    </w:p>
    <w:p w14:paraId="65480732" w14:textId="77777777" w:rsidR="00B350F7" w:rsidRPr="001A38C8" w:rsidRDefault="00000000">
      <w:pPr>
        <w:pStyle w:val="BodyText"/>
        <w:rPr>
          <w:rFonts w:cs="Times New Roman"/>
        </w:rPr>
      </w:pPr>
      <w:r w:rsidRPr="001A38C8">
        <w:rPr>
          <w:rFonts w:cs="Times New Roman"/>
        </w:rPr>
        <w:t>FSIM represents the processes leading to the first visible downy mildew lesions during the first crop growing season under a double-cropping system. FSIM-S incorporates a relative spore-pressure field derived from measured airborne sporangium counts to regulate sporangial cohort generation. Both models were calibrated and evaluated using interval-censored disease-onset observations under leave-one-site–year-out cross-validation. FSIM was subsequently applied across Guangxi to reconstruct disease-onset timing during 2000–2024 and assess the potential to reduce fungicide applications.</w:t>
      </w:r>
    </w:p>
    <w:p w14:paraId="1748F4FD" w14:textId="77777777" w:rsidR="00B350F7" w:rsidRPr="001A38C8" w:rsidRDefault="00000000">
      <w:pPr>
        <w:pStyle w:val="FigureImage"/>
        <w:jc w:val="center"/>
        <w:rPr>
          <w:rFonts w:cs="Times New Roman"/>
        </w:rPr>
      </w:pPr>
      <w:bookmarkStart w:id="4" w:name="X9382b5987218724b767875ee982b27a3655ecd1"/>
      <w:r w:rsidRPr="001A38C8">
        <w:rPr>
          <w:rFonts w:cs="Times New Roman"/>
          <w:noProof/>
        </w:rPr>
        <w:lastRenderedPageBreak/>
        <w:drawing>
          <wp:inline distT="0" distB="0" distL="0" distR="0" wp14:anchorId="01AB7F9B" wp14:editId="2B4B021A">
            <wp:extent cx="5334000" cy="3635463"/>
            <wp:effectExtent l="0" t="0" r="0" b="0"/>
            <wp:docPr id="14" name="Picture" descr="Figure 1"/>
            <wp:cNvGraphicFramePr/>
            <a:graphic xmlns:a="http://schemas.openxmlformats.org/drawingml/2006/main">
              <a:graphicData uri="http://schemas.openxmlformats.org/drawingml/2006/picture">
                <pic:pic xmlns:pic="http://schemas.openxmlformats.org/drawingml/2006/picture">
                  <pic:nvPicPr>
                    <pic:cNvPr id="15" name="Picture" descr="fig/figure_01.png"/>
                    <pic:cNvPicPr>
                      <a:picLocks noChangeAspect="1" noChangeArrowheads="1"/>
                    </pic:cNvPicPr>
                  </pic:nvPicPr>
                  <pic:blipFill>
                    <a:blip r:embed="rId9"/>
                    <a:stretch>
                      <a:fillRect/>
                    </a:stretch>
                  </pic:blipFill>
                  <pic:spPr bwMode="auto">
                    <a:xfrm>
                      <a:off x="0" y="0"/>
                      <a:ext cx="5334000" cy="3635463"/>
                    </a:xfrm>
                    <a:prstGeom prst="rect">
                      <a:avLst/>
                    </a:prstGeom>
                    <a:noFill/>
                    <a:ln w="9525">
                      <a:noFill/>
                      <a:headEnd/>
                      <a:tailEnd/>
                    </a:ln>
                  </pic:spPr>
                </pic:pic>
              </a:graphicData>
            </a:graphic>
          </wp:inline>
        </w:drawing>
      </w:r>
    </w:p>
    <w:bookmarkEnd w:id="4"/>
    <w:p w14:paraId="64EB4FFF" w14:textId="77777777" w:rsidR="00B350F7" w:rsidRPr="001A38C8" w:rsidRDefault="00000000">
      <w:pPr>
        <w:pStyle w:val="ImageCaption"/>
        <w:jc w:val="center"/>
        <w:rPr>
          <w:rFonts w:cs="Times New Roman"/>
        </w:rPr>
      </w:pPr>
      <w:r w:rsidRPr="001A38C8">
        <w:rPr>
          <w:rFonts w:cs="Times New Roman"/>
        </w:rPr>
        <w:t>Figure 1: Overall workflow of this study. LOSO, leave-one-site–year-out cross-validation.</w:t>
      </w:r>
    </w:p>
    <w:p w14:paraId="3268CB6B" w14:textId="77777777" w:rsidR="00B350F7" w:rsidRPr="001A38C8" w:rsidRDefault="00000000">
      <w:pPr>
        <w:pStyle w:val="Heading2"/>
        <w:rPr>
          <w:rFonts w:ascii="Times New Roman" w:hAnsi="Times New Roman" w:cs="Times New Roman"/>
        </w:rPr>
      </w:pPr>
      <w:bookmarkStart w:id="5" w:name="field-experiments-and-data-collection"/>
      <w:bookmarkEnd w:id="3"/>
      <w:r w:rsidRPr="001A38C8">
        <w:rPr>
          <w:rFonts w:ascii="Times New Roman" w:hAnsi="Times New Roman" w:cs="Times New Roman"/>
        </w:rPr>
        <w:t>2.2 Field experiments and data collection</w:t>
      </w:r>
    </w:p>
    <w:p w14:paraId="7950A348" w14:textId="77777777" w:rsidR="00B350F7" w:rsidRPr="001A38C8" w:rsidRDefault="00000000">
      <w:pPr>
        <w:pStyle w:val="Heading3"/>
        <w:rPr>
          <w:rFonts w:cs="Times New Roman"/>
        </w:rPr>
      </w:pPr>
      <w:bookmarkStart w:id="6" w:name="site-description-climate-vineyard-layout"/>
      <w:r w:rsidRPr="001A38C8">
        <w:rPr>
          <w:rFonts w:cs="Times New Roman"/>
        </w:rPr>
        <w:t>2.2.1 Site description, climate, vineyard layout</w:t>
      </w:r>
    </w:p>
    <w:p w14:paraId="2594F213" w14:textId="77777777" w:rsidR="00B350F7" w:rsidRPr="001A38C8" w:rsidRDefault="00000000">
      <w:pPr>
        <w:pStyle w:val="FirstParagraph"/>
        <w:rPr>
          <w:rFonts w:cs="Times New Roman"/>
        </w:rPr>
      </w:pPr>
      <w:r w:rsidRPr="001A38C8">
        <w:rPr>
          <w:rFonts w:cs="Times New Roman"/>
        </w:rPr>
        <w:t xml:space="preserve">Field experiments were conducted from 2022 to 2024 in three grape production orchards in Guangxi, China: Xing’an in Guilin, Du’an in Hechi, and Jiangnan in Nanning. The orchards were selected to represent common local production scales and cultivars, and their site characteristics are summarized in </w:t>
      </w:r>
      <w:hyperlink w:anchor="X6943187ac80dd2eec07635b544896e83686ebbc">
        <w:r w:rsidR="00B350F7" w:rsidRPr="001A38C8">
          <w:rPr>
            <w:rStyle w:val="Hyperlink"/>
            <w:rFonts w:cs="Times New Roman"/>
          </w:rPr>
          <w:t>Table 1</w:t>
        </w:r>
      </w:hyperlink>
      <w:r w:rsidRPr="001A38C8">
        <w:rPr>
          <w:rFonts w:cs="Times New Roman"/>
        </w:rPr>
        <w:t xml:space="preserve"> (</w:t>
      </w:r>
      <w:hyperlink w:anchor="Xf6aa8600996f8e17d787f9402e4a62c671c1344">
        <w:r w:rsidR="00B350F7" w:rsidRPr="001A38C8">
          <w:rPr>
            <w:rStyle w:val="Hyperlink"/>
            <w:rFonts w:cs="Times New Roman"/>
          </w:rPr>
          <w:t>Figure 2a,b</w:t>
        </w:r>
      </w:hyperlink>
      <w:r w:rsidRPr="001A38C8">
        <w:rPr>
          <w:rFonts w:cs="Times New Roman"/>
        </w:rPr>
        <w:t>).</w:t>
      </w:r>
    </w:p>
    <w:p w14:paraId="5E17928D" w14:textId="77777777" w:rsidR="00B350F7" w:rsidRPr="001A38C8" w:rsidRDefault="00000000">
      <w:pPr>
        <w:pStyle w:val="BodyText"/>
        <w:rPr>
          <w:rFonts w:cs="Times New Roman"/>
        </w:rPr>
      </w:pPr>
      <w:r w:rsidRPr="001A38C8">
        <w:rPr>
          <w:rFonts w:cs="Times New Roman"/>
        </w:rPr>
        <w:t>The study sites have suitable autumn–winter conditions, with relatively mild temperatures, high humidity, and recurrent rainfall (</w:t>
      </w:r>
      <w:hyperlink w:anchor="X1efb8c6a309e42b8504d22d6db41495b189c98c">
        <w:r w:rsidR="00B350F7" w:rsidRPr="001A38C8">
          <w:rPr>
            <w:rStyle w:val="Hyperlink"/>
            <w:rFonts w:cs="Times New Roman"/>
          </w:rPr>
          <w:t>Figure 3</w:t>
        </w:r>
      </w:hyperlink>
      <w:r w:rsidRPr="001A38C8">
        <w:rPr>
          <w:rFonts w:cs="Times New Roman"/>
        </w:rPr>
        <w:t>). Orchards surrounding the experimental sites commonly use a double-cropping production system.</w:t>
      </w:r>
    </w:p>
    <w:p w14:paraId="495E0849" w14:textId="77777777" w:rsidR="00B350F7" w:rsidRPr="001A38C8" w:rsidRDefault="00000000">
      <w:pPr>
        <w:pStyle w:val="BodyText"/>
        <w:rPr>
          <w:rFonts w:cs="Times New Roman"/>
        </w:rPr>
      </w:pPr>
      <w:r w:rsidRPr="001A38C8">
        <w:rPr>
          <w:rFonts w:cs="Times New Roman"/>
        </w:rPr>
        <w:t>Under this system, vines are pruned and forced again after the first crop is harvested. The autumn crop then continues to develop through autumn and is harvested in January of the following year, allowing grape production to continue through the cool season.</w:t>
      </w:r>
    </w:p>
    <w:p w14:paraId="77271FBB" w14:textId="33D9F926" w:rsidR="00B350F7" w:rsidRPr="0044482F" w:rsidRDefault="00000000">
      <w:pPr>
        <w:pStyle w:val="BodyText"/>
        <w:rPr>
          <w:rFonts w:cs="Times New Roman" w:hint="eastAsia"/>
        </w:rPr>
      </w:pPr>
      <w:r w:rsidRPr="001A38C8">
        <w:rPr>
          <w:rFonts w:cs="Times New Roman"/>
        </w:rPr>
        <w:lastRenderedPageBreak/>
        <w:t>At each vineyard, two management treatments were established to distinguish natural infection dynamics from management-modified disease pressure: a traditional treatment (TT), in which fungicides were applied following local management calendars, and a no-spray control (CK), in which no fungicides were applied. A completely randomized design was used, with three replicates per treatment, resulting in six observation plots per vineyard. Each plot consisted of six uniformly growing vines, which were used for subsequent phenological and disease monitoring.</w:t>
      </w:r>
      <w:bookmarkStart w:id="7" w:name="X6943187ac80dd2eec07635b544896e83686ebbc"/>
      <w:bookmarkEnd w:id="7"/>
    </w:p>
    <w:p w14:paraId="32F94DA2" w14:textId="77777777" w:rsidR="00B350F7" w:rsidRPr="001A38C8" w:rsidRDefault="00000000">
      <w:pPr>
        <w:pStyle w:val="TableCaption"/>
        <w:rPr>
          <w:rFonts w:cs="Times New Roman"/>
        </w:rPr>
      </w:pPr>
      <w:r w:rsidRPr="001A38C8">
        <w:rPr>
          <w:rFonts w:cs="Times New Roman"/>
          <w:iCs/>
        </w:rPr>
        <w:t>Table 1 Characteristics of experimental vineyard sites in Guangxi, China.</w:t>
      </w:r>
    </w:p>
    <w:tbl>
      <w:tblPr>
        <w:tblStyle w:val="Table"/>
        <w:tblW w:w="5000" w:type="pct"/>
        <w:jc w:val="center"/>
        <w:tblBorders>
          <w:top w:val="single" w:sz="6" w:space="0" w:color="000000"/>
          <w:left w:val="nil"/>
          <w:bottom w:val="single" w:sz="6" w:space="0" w:color="000000"/>
          <w:right w:val="nil"/>
          <w:insideH w:val="nil"/>
          <w:insideV w:val="nil"/>
        </w:tblBorders>
        <w:tblLayout w:type="fixed"/>
        <w:tblLook w:val="0020" w:firstRow="1" w:lastRow="0" w:firstColumn="0" w:lastColumn="0" w:noHBand="0" w:noVBand="0"/>
      </w:tblPr>
      <w:tblGrid>
        <w:gridCol w:w="1462"/>
        <w:gridCol w:w="1553"/>
        <w:gridCol w:w="1645"/>
        <w:gridCol w:w="1462"/>
        <w:gridCol w:w="1005"/>
        <w:gridCol w:w="822"/>
        <w:gridCol w:w="1187"/>
      </w:tblGrid>
      <w:tr w:rsidR="00B350F7" w:rsidRPr="001A38C8" w14:paraId="0428AB9A" w14:textId="77777777" w:rsidTr="00B350F7">
        <w:trPr>
          <w:cnfStyle w:val="100000000000" w:firstRow="1" w:lastRow="0" w:firstColumn="0" w:lastColumn="0" w:oddVBand="0" w:evenVBand="0" w:oddHBand="0" w:evenHBand="0" w:firstRowFirstColumn="0" w:firstRowLastColumn="0" w:lastRowFirstColumn="0" w:lastRowLastColumn="0"/>
          <w:cantSplit/>
          <w:tblHeader/>
          <w:jc w:val="center"/>
        </w:trPr>
        <w:tc>
          <w:tcPr>
            <w:tcW w:w="1444" w:type="dxa"/>
            <w:tcBorders>
              <w:bottom w:val="single" w:sz="6" w:space="0" w:color="auto"/>
            </w:tcBorders>
            <w:tcMar>
              <w:top w:w="65" w:type="dxa"/>
              <w:left w:w="55" w:type="dxa"/>
              <w:bottom w:w="65" w:type="dxa"/>
              <w:right w:w="55" w:type="dxa"/>
            </w:tcMar>
            <w:vAlign w:val="center"/>
          </w:tcPr>
          <w:p w14:paraId="21240DB4" w14:textId="77777777" w:rsidR="00B350F7" w:rsidRPr="001A38C8" w:rsidRDefault="00000000">
            <w:pPr>
              <w:keepNext/>
              <w:keepLines/>
              <w:spacing w:after="0" w:line="264" w:lineRule="auto"/>
              <w:rPr>
                <w:rFonts w:cs="Times New Roman"/>
              </w:rPr>
            </w:pPr>
            <w:r w:rsidRPr="001A38C8">
              <w:rPr>
                <w:rFonts w:cs="Times New Roman"/>
                <w:b/>
                <w:sz w:val="18"/>
              </w:rPr>
              <w:t>City/County</w:t>
            </w:r>
          </w:p>
        </w:tc>
        <w:tc>
          <w:tcPr>
            <w:tcW w:w="1534" w:type="dxa"/>
            <w:tcBorders>
              <w:bottom w:val="single" w:sz="6" w:space="0" w:color="auto"/>
            </w:tcBorders>
            <w:tcMar>
              <w:top w:w="65" w:type="dxa"/>
              <w:left w:w="55" w:type="dxa"/>
              <w:bottom w:w="65" w:type="dxa"/>
              <w:right w:w="55" w:type="dxa"/>
            </w:tcMar>
            <w:vAlign w:val="center"/>
          </w:tcPr>
          <w:p w14:paraId="7F2E81A9" w14:textId="77777777" w:rsidR="00B350F7" w:rsidRPr="001A38C8" w:rsidRDefault="00000000">
            <w:pPr>
              <w:keepNext/>
              <w:keepLines/>
              <w:spacing w:after="0" w:line="264" w:lineRule="auto"/>
              <w:rPr>
                <w:rFonts w:cs="Times New Roman"/>
              </w:rPr>
            </w:pPr>
            <w:r w:rsidRPr="001A38C8">
              <w:rPr>
                <w:rFonts w:cs="Times New Roman"/>
                <w:b/>
                <w:sz w:val="18"/>
              </w:rPr>
              <w:t>Lat, Lon</w:t>
            </w:r>
          </w:p>
        </w:tc>
        <w:tc>
          <w:tcPr>
            <w:tcW w:w="1625" w:type="dxa"/>
            <w:tcBorders>
              <w:bottom w:val="single" w:sz="6" w:space="0" w:color="auto"/>
            </w:tcBorders>
            <w:tcMar>
              <w:top w:w="65" w:type="dxa"/>
              <w:left w:w="55" w:type="dxa"/>
              <w:bottom w:w="65" w:type="dxa"/>
              <w:right w:w="55" w:type="dxa"/>
            </w:tcMar>
            <w:vAlign w:val="center"/>
          </w:tcPr>
          <w:p w14:paraId="36313757" w14:textId="77777777" w:rsidR="00B350F7" w:rsidRPr="001A38C8" w:rsidRDefault="00000000">
            <w:pPr>
              <w:keepNext/>
              <w:keepLines/>
              <w:spacing w:after="0" w:line="264" w:lineRule="auto"/>
              <w:rPr>
                <w:rFonts w:cs="Times New Roman"/>
              </w:rPr>
            </w:pPr>
            <w:r w:rsidRPr="001A38C8">
              <w:rPr>
                <w:rFonts w:cs="Times New Roman"/>
                <w:b/>
                <w:sz w:val="18"/>
              </w:rPr>
              <w:t>Cultivar</w:t>
            </w:r>
          </w:p>
        </w:tc>
        <w:tc>
          <w:tcPr>
            <w:tcW w:w="1444" w:type="dxa"/>
            <w:tcBorders>
              <w:bottom w:val="single" w:sz="6" w:space="0" w:color="auto"/>
            </w:tcBorders>
            <w:tcMar>
              <w:top w:w="65" w:type="dxa"/>
              <w:left w:w="55" w:type="dxa"/>
              <w:bottom w:w="65" w:type="dxa"/>
              <w:right w:w="55" w:type="dxa"/>
            </w:tcMar>
            <w:vAlign w:val="center"/>
          </w:tcPr>
          <w:p w14:paraId="1924E3B1" w14:textId="77777777" w:rsidR="00B350F7" w:rsidRPr="001A38C8" w:rsidRDefault="00000000">
            <w:pPr>
              <w:keepNext/>
              <w:keepLines/>
              <w:spacing w:after="0" w:line="264" w:lineRule="auto"/>
              <w:rPr>
                <w:rFonts w:cs="Times New Roman"/>
              </w:rPr>
            </w:pPr>
            <w:r w:rsidRPr="001A38C8">
              <w:rPr>
                <w:rFonts w:cs="Times New Roman"/>
                <w:b/>
                <w:sz w:val="18"/>
              </w:rPr>
              <w:t>Orchard type</w:t>
            </w:r>
          </w:p>
        </w:tc>
        <w:tc>
          <w:tcPr>
            <w:tcW w:w="993" w:type="dxa"/>
            <w:tcBorders>
              <w:bottom w:val="single" w:sz="6" w:space="0" w:color="auto"/>
            </w:tcBorders>
            <w:tcMar>
              <w:top w:w="65" w:type="dxa"/>
              <w:left w:w="55" w:type="dxa"/>
              <w:bottom w:w="65" w:type="dxa"/>
              <w:right w:w="55" w:type="dxa"/>
            </w:tcMar>
            <w:vAlign w:val="center"/>
          </w:tcPr>
          <w:p w14:paraId="373FC409" w14:textId="77777777" w:rsidR="00B350F7" w:rsidRPr="001A38C8" w:rsidRDefault="00000000">
            <w:pPr>
              <w:keepNext/>
              <w:keepLines/>
              <w:spacing w:after="0" w:line="264" w:lineRule="auto"/>
              <w:rPr>
                <w:rFonts w:cs="Times New Roman"/>
              </w:rPr>
            </w:pPr>
            <w:r w:rsidRPr="001A38C8">
              <w:rPr>
                <w:rFonts w:cs="Times New Roman"/>
                <w:b/>
                <w:sz w:val="18"/>
              </w:rPr>
              <w:t>Planting year</w:t>
            </w:r>
          </w:p>
        </w:tc>
        <w:tc>
          <w:tcPr>
            <w:tcW w:w="812" w:type="dxa"/>
            <w:tcBorders>
              <w:bottom w:val="single" w:sz="6" w:space="0" w:color="auto"/>
            </w:tcBorders>
            <w:tcMar>
              <w:top w:w="65" w:type="dxa"/>
              <w:left w:w="55" w:type="dxa"/>
              <w:bottom w:w="65" w:type="dxa"/>
              <w:right w:w="55" w:type="dxa"/>
            </w:tcMar>
            <w:vAlign w:val="center"/>
          </w:tcPr>
          <w:p w14:paraId="245052BB" w14:textId="77777777" w:rsidR="00B350F7" w:rsidRPr="001A38C8" w:rsidRDefault="00000000">
            <w:pPr>
              <w:keepNext/>
              <w:keepLines/>
              <w:spacing w:after="0" w:line="264" w:lineRule="auto"/>
              <w:rPr>
                <w:rFonts w:cs="Times New Roman"/>
              </w:rPr>
            </w:pPr>
            <w:r w:rsidRPr="001A38C8">
              <w:rPr>
                <w:rFonts w:cs="Times New Roman"/>
                <w:b/>
                <w:sz w:val="18"/>
              </w:rPr>
              <w:t>Grape use</w:t>
            </w:r>
          </w:p>
        </w:tc>
        <w:tc>
          <w:tcPr>
            <w:tcW w:w="1173" w:type="dxa"/>
            <w:tcBorders>
              <w:bottom w:val="single" w:sz="6" w:space="0" w:color="auto"/>
            </w:tcBorders>
            <w:tcMar>
              <w:top w:w="65" w:type="dxa"/>
              <w:left w:w="55" w:type="dxa"/>
              <w:bottom w:w="65" w:type="dxa"/>
              <w:right w:w="55" w:type="dxa"/>
            </w:tcMar>
            <w:vAlign w:val="center"/>
          </w:tcPr>
          <w:p w14:paraId="38829205" w14:textId="77777777" w:rsidR="00B350F7" w:rsidRPr="001A38C8" w:rsidRDefault="00000000">
            <w:pPr>
              <w:keepNext/>
              <w:keepLines/>
              <w:spacing w:after="0" w:line="264" w:lineRule="auto"/>
              <w:rPr>
                <w:rFonts w:cs="Times New Roman"/>
              </w:rPr>
            </w:pPr>
            <w:r w:rsidRPr="001A38C8">
              <w:rPr>
                <w:rFonts w:cs="Times New Roman"/>
                <w:b/>
                <w:sz w:val="18"/>
              </w:rPr>
              <w:t xml:space="preserve">Row </w:t>
            </w:r>
            <m:oMath>
              <m:r>
                <m:rPr>
                  <m:sty m:val="b"/>
                </m:rPr>
                <w:rPr>
                  <w:rFonts w:ascii="Cambria Math" w:hAnsi="Cambria Math" w:cs="Times New Roman"/>
                </w:rPr>
                <m:t> × </m:t>
              </m:r>
            </m:oMath>
            <w:r w:rsidRPr="001A38C8">
              <w:rPr>
                <w:rFonts w:cs="Times New Roman"/>
                <w:b/>
                <w:sz w:val="18"/>
              </w:rPr>
              <w:t xml:space="preserve"> Spacing (m)</w:t>
            </w:r>
          </w:p>
        </w:tc>
      </w:tr>
      <w:tr w:rsidR="00B350F7" w:rsidRPr="001A38C8" w14:paraId="29917799" w14:textId="77777777" w:rsidTr="00B350F7">
        <w:trPr>
          <w:cantSplit/>
          <w:jc w:val="center"/>
        </w:trPr>
        <w:tc>
          <w:tcPr>
            <w:tcW w:w="1444" w:type="dxa"/>
            <w:tcMar>
              <w:top w:w="65" w:type="dxa"/>
              <w:left w:w="55" w:type="dxa"/>
              <w:bottom w:w="65" w:type="dxa"/>
              <w:right w:w="55" w:type="dxa"/>
            </w:tcMar>
            <w:vAlign w:val="center"/>
          </w:tcPr>
          <w:p w14:paraId="274BE7FF" w14:textId="77777777" w:rsidR="00B350F7" w:rsidRPr="001A38C8" w:rsidRDefault="00000000">
            <w:pPr>
              <w:keepLines/>
              <w:spacing w:after="0" w:line="264" w:lineRule="auto"/>
              <w:rPr>
                <w:rFonts w:cs="Times New Roman"/>
              </w:rPr>
            </w:pPr>
            <w:r w:rsidRPr="001A38C8">
              <w:rPr>
                <w:rFonts w:cs="Times New Roman"/>
                <w:sz w:val="18"/>
              </w:rPr>
              <w:t>Xing’an, Guilin</w:t>
            </w:r>
          </w:p>
        </w:tc>
        <w:tc>
          <w:tcPr>
            <w:tcW w:w="1534" w:type="dxa"/>
            <w:tcMar>
              <w:top w:w="65" w:type="dxa"/>
              <w:left w:w="55" w:type="dxa"/>
              <w:bottom w:w="65" w:type="dxa"/>
              <w:right w:w="55" w:type="dxa"/>
            </w:tcMar>
            <w:vAlign w:val="center"/>
          </w:tcPr>
          <w:p w14:paraId="260FEC31" w14:textId="77777777" w:rsidR="00B350F7" w:rsidRPr="001A38C8" w:rsidRDefault="00000000">
            <w:pPr>
              <w:keepLines/>
              <w:spacing w:after="0" w:line="264" w:lineRule="auto"/>
              <w:rPr>
                <w:rFonts w:cs="Times New Roman"/>
              </w:rPr>
            </w:pPr>
            <w:r w:rsidRPr="001A38C8">
              <w:rPr>
                <w:rFonts w:cs="Times New Roman"/>
                <w:sz w:val="18"/>
              </w:rPr>
              <w:t>25.45°N, 110.80°E</w:t>
            </w:r>
          </w:p>
        </w:tc>
        <w:tc>
          <w:tcPr>
            <w:tcW w:w="1625" w:type="dxa"/>
            <w:tcMar>
              <w:top w:w="65" w:type="dxa"/>
              <w:left w:w="55" w:type="dxa"/>
              <w:bottom w:w="65" w:type="dxa"/>
              <w:right w:w="55" w:type="dxa"/>
            </w:tcMar>
            <w:vAlign w:val="center"/>
          </w:tcPr>
          <w:p w14:paraId="4BE4E360" w14:textId="77777777" w:rsidR="00B350F7" w:rsidRPr="001A38C8" w:rsidRDefault="00000000">
            <w:pPr>
              <w:keepLines/>
              <w:spacing w:after="0" w:line="264" w:lineRule="auto"/>
              <w:rPr>
                <w:rFonts w:cs="Times New Roman"/>
              </w:rPr>
            </w:pPr>
            <w:r w:rsidRPr="001A38C8">
              <w:rPr>
                <w:rFonts w:cs="Times New Roman"/>
                <w:sz w:val="18"/>
              </w:rPr>
              <w:t>Wink (WK)</w:t>
            </w:r>
          </w:p>
        </w:tc>
        <w:tc>
          <w:tcPr>
            <w:tcW w:w="1444" w:type="dxa"/>
            <w:tcMar>
              <w:top w:w="65" w:type="dxa"/>
              <w:left w:w="55" w:type="dxa"/>
              <w:bottom w:w="65" w:type="dxa"/>
              <w:right w:w="55" w:type="dxa"/>
            </w:tcMar>
            <w:vAlign w:val="center"/>
          </w:tcPr>
          <w:p w14:paraId="26F3AFF8" w14:textId="77777777" w:rsidR="00B350F7" w:rsidRPr="001A38C8" w:rsidRDefault="00000000">
            <w:pPr>
              <w:keepLines/>
              <w:spacing w:after="0" w:line="264" w:lineRule="auto"/>
              <w:rPr>
                <w:rFonts w:cs="Times New Roman"/>
              </w:rPr>
            </w:pPr>
            <w:r w:rsidRPr="001A38C8">
              <w:rPr>
                <w:rFonts w:cs="Times New Roman"/>
                <w:sz w:val="18"/>
              </w:rPr>
              <w:t>Commercial</w:t>
            </w:r>
          </w:p>
        </w:tc>
        <w:tc>
          <w:tcPr>
            <w:tcW w:w="993" w:type="dxa"/>
            <w:tcMar>
              <w:top w:w="65" w:type="dxa"/>
              <w:left w:w="55" w:type="dxa"/>
              <w:bottom w:w="65" w:type="dxa"/>
              <w:right w:w="55" w:type="dxa"/>
            </w:tcMar>
            <w:vAlign w:val="center"/>
          </w:tcPr>
          <w:p w14:paraId="6DB28B9E" w14:textId="77777777" w:rsidR="00B350F7" w:rsidRPr="001A38C8" w:rsidRDefault="00000000">
            <w:pPr>
              <w:keepLines/>
              <w:spacing w:after="0" w:line="264" w:lineRule="auto"/>
              <w:rPr>
                <w:rFonts w:cs="Times New Roman"/>
              </w:rPr>
            </w:pPr>
            <w:r w:rsidRPr="001A38C8">
              <w:rPr>
                <w:rFonts w:cs="Times New Roman"/>
                <w:sz w:val="18"/>
              </w:rPr>
              <w:t>2018</w:t>
            </w:r>
          </w:p>
        </w:tc>
        <w:tc>
          <w:tcPr>
            <w:tcW w:w="812" w:type="dxa"/>
            <w:tcMar>
              <w:top w:w="65" w:type="dxa"/>
              <w:left w:w="55" w:type="dxa"/>
              <w:bottom w:w="65" w:type="dxa"/>
              <w:right w:w="55" w:type="dxa"/>
            </w:tcMar>
            <w:vAlign w:val="center"/>
          </w:tcPr>
          <w:p w14:paraId="75A31405" w14:textId="77777777" w:rsidR="00B350F7" w:rsidRPr="001A38C8" w:rsidRDefault="00000000">
            <w:pPr>
              <w:keepLines/>
              <w:spacing w:after="0" w:line="264" w:lineRule="auto"/>
              <w:rPr>
                <w:rFonts w:cs="Times New Roman"/>
              </w:rPr>
            </w:pPr>
            <w:r w:rsidRPr="001A38C8">
              <w:rPr>
                <w:rFonts w:cs="Times New Roman"/>
                <w:sz w:val="18"/>
              </w:rPr>
              <w:t>Table</w:t>
            </w:r>
          </w:p>
        </w:tc>
        <w:tc>
          <w:tcPr>
            <w:tcW w:w="1173" w:type="dxa"/>
            <w:tcMar>
              <w:top w:w="65" w:type="dxa"/>
              <w:left w:w="55" w:type="dxa"/>
              <w:bottom w:w="65" w:type="dxa"/>
              <w:right w:w="55" w:type="dxa"/>
            </w:tcMar>
            <w:vAlign w:val="center"/>
          </w:tcPr>
          <w:p w14:paraId="0C440C1D" w14:textId="77777777" w:rsidR="00B350F7" w:rsidRPr="001A38C8" w:rsidRDefault="00000000">
            <w:pPr>
              <w:keepLines/>
              <w:spacing w:after="0" w:line="264" w:lineRule="auto"/>
              <w:rPr>
                <w:rFonts w:cs="Times New Roman"/>
              </w:rPr>
            </w:pPr>
            <w:r w:rsidRPr="001A38C8">
              <w:rPr>
                <w:rFonts w:cs="Times New Roman"/>
                <w:sz w:val="18"/>
              </w:rPr>
              <w:t>2.5</w:t>
            </w:r>
            <m:oMath>
              <m:r>
                <m:rPr>
                  <m:sty m:val="p"/>
                </m:rPr>
                <w:rPr>
                  <w:rFonts w:ascii="Cambria Math" w:hAnsi="Cambria Math" w:cs="Times New Roman"/>
                </w:rPr>
                <m:t>×</m:t>
              </m:r>
            </m:oMath>
            <w:r w:rsidRPr="001A38C8">
              <w:rPr>
                <w:rFonts w:cs="Times New Roman"/>
                <w:sz w:val="18"/>
              </w:rPr>
              <w:t>2.5</w:t>
            </w:r>
          </w:p>
        </w:tc>
      </w:tr>
      <w:tr w:rsidR="00B350F7" w:rsidRPr="001A38C8" w14:paraId="13C56C43" w14:textId="77777777" w:rsidTr="00B350F7">
        <w:trPr>
          <w:cantSplit/>
          <w:jc w:val="center"/>
        </w:trPr>
        <w:tc>
          <w:tcPr>
            <w:tcW w:w="1444" w:type="dxa"/>
            <w:tcMar>
              <w:top w:w="65" w:type="dxa"/>
              <w:left w:w="55" w:type="dxa"/>
              <w:bottom w:w="65" w:type="dxa"/>
              <w:right w:w="55" w:type="dxa"/>
            </w:tcMar>
            <w:vAlign w:val="center"/>
          </w:tcPr>
          <w:p w14:paraId="4CA5F1DD" w14:textId="77777777" w:rsidR="00B350F7" w:rsidRPr="001A38C8" w:rsidRDefault="00000000">
            <w:pPr>
              <w:keepLines/>
              <w:spacing w:after="0" w:line="264" w:lineRule="auto"/>
              <w:rPr>
                <w:rFonts w:cs="Times New Roman"/>
              </w:rPr>
            </w:pPr>
            <w:r w:rsidRPr="001A38C8">
              <w:rPr>
                <w:rFonts w:cs="Times New Roman"/>
                <w:sz w:val="18"/>
              </w:rPr>
              <w:t>Du’an, Hechi</w:t>
            </w:r>
          </w:p>
        </w:tc>
        <w:tc>
          <w:tcPr>
            <w:tcW w:w="1534" w:type="dxa"/>
            <w:tcMar>
              <w:top w:w="65" w:type="dxa"/>
              <w:left w:w="55" w:type="dxa"/>
              <w:bottom w:w="65" w:type="dxa"/>
              <w:right w:w="55" w:type="dxa"/>
            </w:tcMar>
            <w:vAlign w:val="center"/>
          </w:tcPr>
          <w:p w14:paraId="153C777D" w14:textId="77777777" w:rsidR="00B350F7" w:rsidRPr="001A38C8" w:rsidRDefault="00000000">
            <w:pPr>
              <w:keepLines/>
              <w:spacing w:after="0" w:line="264" w:lineRule="auto"/>
              <w:rPr>
                <w:rFonts w:cs="Times New Roman"/>
              </w:rPr>
            </w:pPr>
            <w:r w:rsidRPr="001A38C8">
              <w:rPr>
                <w:rFonts w:cs="Times New Roman"/>
                <w:sz w:val="18"/>
              </w:rPr>
              <w:t>23.83°N, 108.10°E</w:t>
            </w:r>
          </w:p>
        </w:tc>
        <w:tc>
          <w:tcPr>
            <w:tcW w:w="1625" w:type="dxa"/>
            <w:tcMar>
              <w:top w:w="65" w:type="dxa"/>
              <w:left w:w="55" w:type="dxa"/>
              <w:bottom w:w="65" w:type="dxa"/>
              <w:right w:w="55" w:type="dxa"/>
            </w:tcMar>
            <w:vAlign w:val="center"/>
          </w:tcPr>
          <w:p w14:paraId="4BC0C5D5" w14:textId="77777777" w:rsidR="00B350F7" w:rsidRPr="001A38C8" w:rsidRDefault="00000000">
            <w:pPr>
              <w:keepLines/>
              <w:spacing w:after="0" w:line="264" w:lineRule="auto"/>
              <w:rPr>
                <w:rFonts w:cs="Times New Roman"/>
              </w:rPr>
            </w:pPr>
            <w:r w:rsidRPr="001A38C8">
              <w:rPr>
                <w:rFonts w:cs="Times New Roman"/>
                <w:sz w:val="18"/>
              </w:rPr>
              <w:t>Yeniang No. 2 (MPT)</w:t>
            </w:r>
          </w:p>
        </w:tc>
        <w:tc>
          <w:tcPr>
            <w:tcW w:w="1444" w:type="dxa"/>
            <w:tcMar>
              <w:top w:w="65" w:type="dxa"/>
              <w:left w:w="55" w:type="dxa"/>
              <w:bottom w:w="65" w:type="dxa"/>
              <w:right w:w="55" w:type="dxa"/>
            </w:tcMar>
            <w:vAlign w:val="center"/>
          </w:tcPr>
          <w:p w14:paraId="3D726AE6" w14:textId="77777777" w:rsidR="00B350F7" w:rsidRPr="001A38C8" w:rsidRDefault="00000000">
            <w:pPr>
              <w:keepLines/>
              <w:spacing w:after="0" w:line="264" w:lineRule="auto"/>
              <w:rPr>
                <w:rFonts w:cs="Times New Roman"/>
              </w:rPr>
            </w:pPr>
            <w:r w:rsidRPr="001A38C8">
              <w:rPr>
                <w:rFonts w:cs="Times New Roman"/>
                <w:sz w:val="18"/>
              </w:rPr>
              <w:t>Commercial</w:t>
            </w:r>
          </w:p>
        </w:tc>
        <w:tc>
          <w:tcPr>
            <w:tcW w:w="993" w:type="dxa"/>
            <w:tcMar>
              <w:top w:w="65" w:type="dxa"/>
              <w:left w:w="55" w:type="dxa"/>
              <w:bottom w:w="65" w:type="dxa"/>
              <w:right w:w="55" w:type="dxa"/>
            </w:tcMar>
            <w:vAlign w:val="center"/>
          </w:tcPr>
          <w:p w14:paraId="697BD052" w14:textId="77777777" w:rsidR="00B350F7" w:rsidRPr="001A38C8" w:rsidRDefault="00000000">
            <w:pPr>
              <w:keepLines/>
              <w:spacing w:after="0" w:line="264" w:lineRule="auto"/>
              <w:rPr>
                <w:rFonts w:cs="Times New Roman"/>
              </w:rPr>
            </w:pPr>
            <w:r w:rsidRPr="001A38C8">
              <w:rPr>
                <w:rFonts w:cs="Times New Roman"/>
                <w:sz w:val="18"/>
              </w:rPr>
              <w:t>2015</w:t>
            </w:r>
          </w:p>
        </w:tc>
        <w:tc>
          <w:tcPr>
            <w:tcW w:w="812" w:type="dxa"/>
            <w:tcMar>
              <w:top w:w="65" w:type="dxa"/>
              <w:left w:w="55" w:type="dxa"/>
              <w:bottom w:w="65" w:type="dxa"/>
              <w:right w:w="55" w:type="dxa"/>
            </w:tcMar>
            <w:vAlign w:val="center"/>
          </w:tcPr>
          <w:p w14:paraId="4DF3C0AA" w14:textId="77777777" w:rsidR="00B350F7" w:rsidRPr="001A38C8" w:rsidRDefault="00000000">
            <w:pPr>
              <w:keepLines/>
              <w:spacing w:after="0" w:line="264" w:lineRule="auto"/>
              <w:rPr>
                <w:rFonts w:cs="Times New Roman"/>
              </w:rPr>
            </w:pPr>
            <w:r w:rsidRPr="001A38C8">
              <w:rPr>
                <w:rFonts w:cs="Times New Roman"/>
                <w:sz w:val="18"/>
              </w:rPr>
              <w:t>Wine</w:t>
            </w:r>
          </w:p>
        </w:tc>
        <w:tc>
          <w:tcPr>
            <w:tcW w:w="1173" w:type="dxa"/>
            <w:tcMar>
              <w:top w:w="65" w:type="dxa"/>
              <w:left w:w="55" w:type="dxa"/>
              <w:bottom w:w="65" w:type="dxa"/>
              <w:right w:w="55" w:type="dxa"/>
            </w:tcMar>
            <w:vAlign w:val="center"/>
          </w:tcPr>
          <w:p w14:paraId="1B3322A9" w14:textId="77777777" w:rsidR="00B350F7" w:rsidRPr="001A38C8" w:rsidRDefault="00000000">
            <w:pPr>
              <w:keepLines/>
              <w:spacing w:after="0" w:line="264" w:lineRule="auto"/>
              <w:rPr>
                <w:rFonts w:cs="Times New Roman"/>
              </w:rPr>
            </w:pPr>
            <w:r w:rsidRPr="001A38C8">
              <w:rPr>
                <w:rFonts w:cs="Times New Roman"/>
                <w:sz w:val="18"/>
              </w:rPr>
              <w:t>2.5</w:t>
            </w:r>
            <m:oMath>
              <m:r>
                <m:rPr>
                  <m:sty m:val="p"/>
                </m:rPr>
                <w:rPr>
                  <w:rFonts w:ascii="Cambria Math" w:hAnsi="Cambria Math" w:cs="Times New Roman"/>
                </w:rPr>
                <m:t>×</m:t>
              </m:r>
            </m:oMath>
            <w:r w:rsidRPr="001A38C8">
              <w:rPr>
                <w:rFonts w:cs="Times New Roman"/>
                <w:sz w:val="18"/>
              </w:rPr>
              <w:t>2.5</w:t>
            </w:r>
          </w:p>
        </w:tc>
      </w:tr>
      <w:tr w:rsidR="00B350F7" w:rsidRPr="001A38C8" w14:paraId="0C9849F2" w14:textId="77777777" w:rsidTr="00B350F7">
        <w:trPr>
          <w:cantSplit/>
          <w:jc w:val="center"/>
        </w:trPr>
        <w:tc>
          <w:tcPr>
            <w:tcW w:w="1444" w:type="dxa"/>
            <w:tcMar>
              <w:top w:w="65" w:type="dxa"/>
              <w:left w:w="55" w:type="dxa"/>
              <w:bottom w:w="65" w:type="dxa"/>
              <w:right w:w="55" w:type="dxa"/>
            </w:tcMar>
            <w:vAlign w:val="center"/>
          </w:tcPr>
          <w:p w14:paraId="17D70907" w14:textId="77777777" w:rsidR="00B350F7" w:rsidRPr="001A38C8" w:rsidRDefault="00000000">
            <w:pPr>
              <w:keepLines/>
              <w:spacing w:after="0" w:line="264" w:lineRule="auto"/>
              <w:rPr>
                <w:rFonts w:cs="Times New Roman"/>
              </w:rPr>
            </w:pPr>
            <w:r w:rsidRPr="001A38C8">
              <w:rPr>
                <w:rFonts w:cs="Times New Roman"/>
                <w:sz w:val="18"/>
              </w:rPr>
              <w:t>Jiangnan, Nanning</w:t>
            </w:r>
          </w:p>
        </w:tc>
        <w:tc>
          <w:tcPr>
            <w:tcW w:w="1534" w:type="dxa"/>
            <w:tcMar>
              <w:top w:w="65" w:type="dxa"/>
              <w:left w:w="55" w:type="dxa"/>
              <w:bottom w:w="65" w:type="dxa"/>
              <w:right w:w="55" w:type="dxa"/>
            </w:tcMar>
            <w:vAlign w:val="center"/>
          </w:tcPr>
          <w:p w14:paraId="2F821E59" w14:textId="77777777" w:rsidR="00B350F7" w:rsidRPr="001A38C8" w:rsidRDefault="00000000">
            <w:pPr>
              <w:keepLines/>
              <w:spacing w:after="0" w:line="264" w:lineRule="auto"/>
              <w:rPr>
                <w:rFonts w:cs="Times New Roman"/>
              </w:rPr>
            </w:pPr>
            <w:r w:rsidRPr="001A38C8">
              <w:rPr>
                <w:rFonts w:cs="Times New Roman"/>
                <w:sz w:val="18"/>
              </w:rPr>
              <w:t>22.61°N, 108.23°E</w:t>
            </w:r>
          </w:p>
        </w:tc>
        <w:tc>
          <w:tcPr>
            <w:tcW w:w="1625" w:type="dxa"/>
            <w:tcMar>
              <w:top w:w="65" w:type="dxa"/>
              <w:left w:w="55" w:type="dxa"/>
              <w:bottom w:w="65" w:type="dxa"/>
              <w:right w:w="55" w:type="dxa"/>
            </w:tcMar>
            <w:vAlign w:val="center"/>
          </w:tcPr>
          <w:p w14:paraId="2DD2F6C7" w14:textId="77777777" w:rsidR="00B350F7" w:rsidRPr="001A38C8" w:rsidRDefault="00000000">
            <w:pPr>
              <w:keepLines/>
              <w:spacing w:after="0" w:line="264" w:lineRule="auto"/>
              <w:rPr>
                <w:rFonts w:cs="Times New Roman"/>
              </w:rPr>
            </w:pPr>
            <w:r w:rsidRPr="001A38C8">
              <w:rPr>
                <w:rFonts w:cs="Times New Roman"/>
                <w:sz w:val="18"/>
              </w:rPr>
              <w:t>Kyoho (JF)</w:t>
            </w:r>
          </w:p>
        </w:tc>
        <w:tc>
          <w:tcPr>
            <w:tcW w:w="1444" w:type="dxa"/>
            <w:tcMar>
              <w:top w:w="65" w:type="dxa"/>
              <w:left w:w="55" w:type="dxa"/>
              <w:bottom w:w="65" w:type="dxa"/>
              <w:right w:w="55" w:type="dxa"/>
            </w:tcMar>
            <w:vAlign w:val="center"/>
          </w:tcPr>
          <w:p w14:paraId="1151FDD9" w14:textId="77777777" w:rsidR="00B350F7" w:rsidRPr="001A38C8" w:rsidRDefault="00000000">
            <w:pPr>
              <w:keepLines/>
              <w:spacing w:after="0" w:line="264" w:lineRule="auto"/>
              <w:rPr>
                <w:rFonts w:cs="Times New Roman"/>
              </w:rPr>
            </w:pPr>
            <w:r w:rsidRPr="001A38C8">
              <w:rPr>
                <w:rFonts w:cs="Times New Roman"/>
                <w:sz w:val="18"/>
              </w:rPr>
              <w:t>Experimental</w:t>
            </w:r>
          </w:p>
        </w:tc>
        <w:tc>
          <w:tcPr>
            <w:tcW w:w="993" w:type="dxa"/>
            <w:tcMar>
              <w:top w:w="65" w:type="dxa"/>
              <w:left w:w="55" w:type="dxa"/>
              <w:bottom w:w="65" w:type="dxa"/>
              <w:right w:w="55" w:type="dxa"/>
            </w:tcMar>
            <w:vAlign w:val="center"/>
          </w:tcPr>
          <w:p w14:paraId="1184213C" w14:textId="77777777" w:rsidR="00B350F7" w:rsidRPr="001A38C8" w:rsidRDefault="00000000">
            <w:pPr>
              <w:keepLines/>
              <w:spacing w:after="0" w:line="264" w:lineRule="auto"/>
              <w:rPr>
                <w:rFonts w:cs="Times New Roman"/>
              </w:rPr>
            </w:pPr>
            <w:r w:rsidRPr="001A38C8">
              <w:rPr>
                <w:rFonts w:cs="Times New Roman"/>
                <w:sz w:val="18"/>
              </w:rPr>
              <w:t>2020</w:t>
            </w:r>
          </w:p>
        </w:tc>
        <w:tc>
          <w:tcPr>
            <w:tcW w:w="812" w:type="dxa"/>
            <w:tcMar>
              <w:top w:w="65" w:type="dxa"/>
              <w:left w:w="55" w:type="dxa"/>
              <w:bottom w:w="65" w:type="dxa"/>
              <w:right w:w="55" w:type="dxa"/>
            </w:tcMar>
            <w:vAlign w:val="center"/>
          </w:tcPr>
          <w:p w14:paraId="14FBC581" w14:textId="77777777" w:rsidR="00B350F7" w:rsidRPr="001A38C8" w:rsidRDefault="00000000">
            <w:pPr>
              <w:keepLines/>
              <w:spacing w:after="0" w:line="264" w:lineRule="auto"/>
              <w:rPr>
                <w:rFonts w:cs="Times New Roman"/>
              </w:rPr>
            </w:pPr>
            <w:r w:rsidRPr="001A38C8">
              <w:rPr>
                <w:rFonts w:cs="Times New Roman"/>
                <w:sz w:val="18"/>
              </w:rPr>
              <w:t>Table</w:t>
            </w:r>
          </w:p>
        </w:tc>
        <w:tc>
          <w:tcPr>
            <w:tcW w:w="1173" w:type="dxa"/>
            <w:tcMar>
              <w:top w:w="65" w:type="dxa"/>
              <w:left w:w="55" w:type="dxa"/>
              <w:bottom w:w="65" w:type="dxa"/>
              <w:right w:w="55" w:type="dxa"/>
            </w:tcMar>
            <w:vAlign w:val="center"/>
          </w:tcPr>
          <w:p w14:paraId="19D49D03" w14:textId="77777777" w:rsidR="00B350F7" w:rsidRPr="001A38C8" w:rsidRDefault="00000000">
            <w:pPr>
              <w:keepLines/>
              <w:spacing w:after="0" w:line="264" w:lineRule="auto"/>
              <w:rPr>
                <w:rFonts w:cs="Times New Roman"/>
              </w:rPr>
            </w:pPr>
            <w:r w:rsidRPr="001A38C8">
              <w:rPr>
                <w:rFonts w:cs="Times New Roman"/>
                <w:sz w:val="18"/>
              </w:rPr>
              <w:t xml:space="preserve">3.2 </w:t>
            </w:r>
            <m:oMath>
              <m:r>
                <m:rPr>
                  <m:sty m:val="p"/>
                </m:rPr>
                <w:rPr>
                  <w:rFonts w:ascii="Cambria Math" w:hAnsi="Cambria Math" w:cs="Times New Roman"/>
                </w:rPr>
                <m:t>×</m:t>
              </m:r>
            </m:oMath>
            <w:r w:rsidRPr="001A38C8">
              <w:rPr>
                <w:rFonts w:cs="Times New Roman"/>
                <w:sz w:val="18"/>
              </w:rPr>
              <w:t>3.0</w:t>
            </w:r>
          </w:p>
        </w:tc>
      </w:tr>
    </w:tbl>
    <w:p w14:paraId="495971D3" w14:textId="77777777" w:rsidR="00B350F7" w:rsidRPr="001A38C8" w:rsidRDefault="00000000">
      <w:pPr>
        <w:pStyle w:val="FigureImage"/>
        <w:jc w:val="center"/>
        <w:rPr>
          <w:rFonts w:cs="Times New Roman"/>
        </w:rPr>
      </w:pPr>
      <w:bookmarkStart w:id="8" w:name="Xf6aa8600996f8e17d787f9402e4a62c671c1344"/>
      <w:r w:rsidRPr="001A38C8">
        <w:rPr>
          <w:rFonts w:cs="Times New Roman"/>
          <w:noProof/>
        </w:rPr>
        <w:lastRenderedPageBreak/>
        <w:drawing>
          <wp:inline distT="0" distB="0" distL="0" distR="0" wp14:anchorId="779C5A0A" wp14:editId="44372420">
            <wp:extent cx="5334000" cy="4163913"/>
            <wp:effectExtent l="0" t="0" r="0" b="0"/>
            <wp:docPr id="20" name="Picture" descr="Figure 2"/>
            <wp:cNvGraphicFramePr/>
            <a:graphic xmlns:a="http://schemas.openxmlformats.org/drawingml/2006/main">
              <a:graphicData uri="http://schemas.openxmlformats.org/drawingml/2006/picture">
                <pic:pic xmlns:pic="http://schemas.openxmlformats.org/drawingml/2006/picture">
                  <pic:nvPicPr>
                    <pic:cNvPr id="21" name="Picture" descr="fig/figure_02.png"/>
                    <pic:cNvPicPr>
                      <a:picLocks noChangeAspect="1" noChangeArrowheads="1"/>
                    </pic:cNvPicPr>
                  </pic:nvPicPr>
                  <pic:blipFill>
                    <a:blip r:embed="rId10"/>
                    <a:stretch>
                      <a:fillRect/>
                    </a:stretch>
                  </pic:blipFill>
                  <pic:spPr bwMode="auto">
                    <a:xfrm>
                      <a:off x="0" y="0"/>
                      <a:ext cx="5334000" cy="4163913"/>
                    </a:xfrm>
                    <a:prstGeom prst="rect">
                      <a:avLst/>
                    </a:prstGeom>
                    <a:noFill/>
                    <a:ln w="9525">
                      <a:noFill/>
                      <a:headEnd/>
                      <a:tailEnd/>
                    </a:ln>
                  </pic:spPr>
                </pic:pic>
              </a:graphicData>
            </a:graphic>
          </wp:inline>
        </w:drawing>
      </w:r>
    </w:p>
    <w:bookmarkEnd w:id="8"/>
    <w:p w14:paraId="07708C3D" w14:textId="77777777" w:rsidR="00B350F7" w:rsidRPr="001A38C8" w:rsidRDefault="00000000">
      <w:pPr>
        <w:pStyle w:val="ImageCaption"/>
        <w:jc w:val="center"/>
        <w:rPr>
          <w:rFonts w:cs="Times New Roman"/>
        </w:rPr>
      </w:pPr>
      <w:r w:rsidRPr="001A38C8">
        <w:rPr>
          <w:rFonts w:cs="Times New Roman"/>
        </w:rPr>
        <w:t>Figure 2: Study sites and field layout. (a) Location of Guangxi within China. (b) Spatial distribution of the three field experiment sites (Guilin, Hechi, and Nanning) in Guangxi Province; red circles indicate the locations of the experimental orchards. (c) Plot layout at the Du’an site in Hechi City, where black rectangles denote the three untreated control plots (CK).</w:t>
      </w:r>
    </w:p>
    <w:p w14:paraId="03C0B8CF" w14:textId="77777777" w:rsidR="00B350F7" w:rsidRPr="001A38C8" w:rsidRDefault="00000000">
      <w:pPr>
        <w:pStyle w:val="FigureImage"/>
        <w:jc w:val="center"/>
        <w:rPr>
          <w:rFonts w:cs="Times New Roman"/>
        </w:rPr>
      </w:pPr>
      <w:bookmarkStart w:id="9" w:name="X1efb8c6a309e42b8504d22d6db41495b189c98c"/>
      <w:r w:rsidRPr="001A38C8">
        <w:rPr>
          <w:rFonts w:cs="Times New Roman"/>
          <w:noProof/>
        </w:rPr>
        <w:lastRenderedPageBreak/>
        <w:drawing>
          <wp:inline distT="0" distB="0" distL="0" distR="0" wp14:anchorId="1271A815" wp14:editId="2D49F9E8">
            <wp:extent cx="5334000" cy="4169535"/>
            <wp:effectExtent l="0" t="0" r="0" b="0"/>
            <wp:docPr id="24" name="Picture" descr="Figure 3"/>
            <wp:cNvGraphicFramePr/>
            <a:graphic xmlns:a="http://schemas.openxmlformats.org/drawingml/2006/main">
              <a:graphicData uri="http://schemas.openxmlformats.org/drawingml/2006/picture">
                <pic:pic xmlns:pic="http://schemas.openxmlformats.org/drawingml/2006/picture">
                  <pic:nvPicPr>
                    <pic:cNvPr id="25" name="Picture" descr="fig/figure_03.png"/>
                    <pic:cNvPicPr>
                      <a:picLocks noChangeAspect="1" noChangeArrowheads="1"/>
                    </pic:cNvPicPr>
                  </pic:nvPicPr>
                  <pic:blipFill>
                    <a:blip r:embed="rId11"/>
                    <a:stretch>
                      <a:fillRect/>
                    </a:stretch>
                  </pic:blipFill>
                  <pic:spPr bwMode="auto">
                    <a:xfrm>
                      <a:off x="0" y="0"/>
                      <a:ext cx="5334000" cy="4169535"/>
                    </a:xfrm>
                    <a:prstGeom prst="rect">
                      <a:avLst/>
                    </a:prstGeom>
                    <a:noFill/>
                    <a:ln w="9525">
                      <a:noFill/>
                      <a:headEnd/>
                      <a:tailEnd/>
                    </a:ln>
                  </pic:spPr>
                </pic:pic>
              </a:graphicData>
            </a:graphic>
          </wp:inline>
        </w:drawing>
      </w:r>
    </w:p>
    <w:bookmarkEnd w:id="9"/>
    <w:p w14:paraId="137E9CF7" w14:textId="77777777" w:rsidR="00B350F7" w:rsidRPr="001A38C8" w:rsidRDefault="00000000">
      <w:pPr>
        <w:pStyle w:val="ImageCaption"/>
        <w:jc w:val="center"/>
        <w:rPr>
          <w:rFonts w:cs="Times New Roman"/>
        </w:rPr>
      </w:pPr>
      <w:r w:rsidRPr="001A38C8">
        <w:rPr>
          <w:rFonts w:cs="Times New Roman"/>
        </w:rPr>
        <w:t>Figure 3: Monthly autumn–winter air temperature, relative humidity, and rainfall at the three study sites in Guangxi, China, summarized from 2022–2024 observations.</w:t>
      </w:r>
    </w:p>
    <w:p w14:paraId="7B58794F" w14:textId="77777777" w:rsidR="00B350F7" w:rsidRPr="001A38C8" w:rsidRDefault="00000000">
      <w:pPr>
        <w:pStyle w:val="Heading3"/>
        <w:rPr>
          <w:rFonts w:cs="Times New Roman"/>
        </w:rPr>
      </w:pPr>
      <w:bookmarkStart w:id="10" w:name="disease-and-phenology-data-collection"/>
      <w:bookmarkEnd w:id="6"/>
      <w:r w:rsidRPr="001A38C8">
        <w:rPr>
          <w:rFonts w:cs="Times New Roman"/>
        </w:rPr>
        <w:t>2.2.2 Disease and phenology data collection</w:t>
      </w:r>
    </w:p>
    <w:p w14:paraId="0C32B3C7" w14:textId="77777777" w:rsidR="00B350F7" w:rsidRPr="001A38C8" w:rsidRDefault="00000000">
      <w:pPr>
        <w:pStyle w:val="FirstParagraph"/>
        <w:rPr>
          <w:rFonts w:cs="Times New Roman"/>
        </w:rPr>
      </w:pPr>
      <w:r w:rsidRPr="001A38C8">
        <w:rPr>
          <w:rFonts w:cs="Times New Roman"/>
        </w:rPr>
        <w:t>Grapevine phenological development and downy mildew progression were monitored throughout the growing season following a standardized field observation protocol. All assessments were conducted in situ by trained technicians and recorded using a dedicated WeChat-based mobile data collection system (“Nong Qing Zhu Shou”), which provided structured interfaces for the extended Biologische Bundesanstalt, Bundessortenamt and Chemische Industrie (BBCH) scale,</w:t>
      </w:r>
      <w:hyperlink w:anchor="Reference_17" w:history="1">
        <w:r>
          <w:rPr>
            <w:rFonts w:cs="Times New Roman"/>
            <w:vertAlign w:val="superscript"/>
          </w:rPr>
          <w:t>17</w:t>
        </w:r>
      </w:hyperlink>
      <w:r w:rsidRPr="001A38C8">
        <w:rPr>
          <w:rFonts w:cs="Times New Roman"/>
        </w:rPr>
        <w:t xml:space="preserve"> lesion annotation, automatic time-stamping, GPS geolocation, and image capture. Records were uploaded directly to a cloud database, allowing continuous checks of data completeness and internal consistency.</w:t>
      </w:r>
    </w:p>
    <w:p w14:paraId="10279850" w14:textId="77777777" w:rsidR="00B350F7" w:rsidRPr="001A38C8" w:rsidRDefault="00000000">
      <w:pPr>
        <w:pStyle w:val="BodyText"/>
        <w:rPr>
          <w:rFonts w:cs="Times New Roman"/>
        </w:rPr>
      </w:pPr>
      <w:r w:rsidRPr="001A38C8">
        <w:rPr>
          <w:rFonts w:cs="Times New Roman"/>
        </w:rPr>
        <w:t xml:space="preserve">Observation frequency was adjusted according to developmental stage: surveys were conducted weekly from BBCH 00 to BBCH 13 (dormancy to three unfolded leaves), and </w:t>
      </w:r>
      <w:r w:rsidRPr="001A38C8">
        <w:rPr>
          <w:rFonts w:cs="Times New Roman"/>
        </w:rPr>
        <w:lastRenderedPageBreak/>
        <w:t>every three days thereafter as vines entered the susceptible period for downy mildew. Suspected lesions were photographed and centrally reviewed; the first confirmed oil spot in any observation plot defined the first symptom-onset date (</w:t>
      </w:r>
      <w:hyperlink w:anchor="X68dff2146d9f83236d189f85937f4e5913d04fb">
        <w:r w:rsidR="00B350F7" w:rsidRPr="001A38C8">
          <w:rPr>
            <w:rStyle w:val="Hyperlink"/>
            <w:rFonts w:cs="Times New Roman"/>
          </w:rPr>
          <w:t>Figure 4b</w:t>
        </w:r>
      </w:hyperlink>
      <w:r w:rsidRPr="001A38C8">
        <w:rPr>
          <w:rFonts w:cs="Times New Roman"/>
        </w:rPr>
        <w:t>).</w:t>
      </w:r>
    </w:p>
    <w:p w14:paraId="5A0ADF52" w14:textId="77777777" w:rsidR="00B350F7" w:rsidRPr="001A38C8" w:rsidRDefault="00000000">
      <w:pPr>
        <w:pStyle w:val="FigureImage"/>
        <w:jc w:val="center"/>
        <w:rPr>
          <w:rFonts w:cs="Times New Roman"/>
        </w:rPr>
      </w:pPr>
      <w:bookmarkStart w:id="11" w:name="X68dff2146d9f83236d189f85937f4e5913d04fb"/>
      <w:r w:rsidRPr="001A38C8">
        <w:rPr>
          <w:rFonts w:cs="Times New Roman"/>
          <w:noProof/>
        </w:rPr>
        <w:drawing>
          <wp:inline distT="0" distB="0" distL="0" distR="0" wp14:anchorId="0A050FAD" wp14:editId="7F3723E1">
            <wp:extent cx="5334000" cy="2107115"/>
            <wp:effectExtent l="0" t="0" r="0" b="0"/>
            <wp:docPr id="29" name="Picture" descr="Figure 4"/>
            <wp:cNvGraphicFramePr/>
            <a:graphic xmlns:a="http://schemas.openxmlformats.org/drawingml/2006/main">
              <a:graphicData uri="http://schemas.openxmlformats.org/drawingml/2006/picture">
                <pic:pic xmlns:pic="http://schemas.openxmlformats.org/drawingml/2006/picture">
                  <pic:nvPicPr>
                    <pic:cNvPr id="30" name="Picture" descr="fig/figure_04.png"/>
                    <pic:cNvPicPr>
                      <a:picLocks noChangeAspect="1" noChangeArrowheads="1"/>
                    </pic:cNvPicPr>
                  </pic:nvPicPr>
                  <pic:blipFill>
                    <a:blip r:embed="rId12"/>
                    <a:stretch>
                      <a:fillRect/>
                    </a:stretch>
                  </pic:blipFill>
                  <pic:spPr bwMode="auto">
                    <a:xfrm>
                      <a:off x="0" y="0"/>
                      <a:ext cx="5334000" cy="2107115"/>
                    </a:xfrm>
                    <a:prstGeom prst="rect">
                      <a:avLst/>
                    </a:prstGeom>
                    <a:noFill/>
                    <a:ln w="9525">
                      <a:noFill/>
                      <a:headEnd/>
                      <a:tailEnd/>
                    </a:ln>
                  </pic:spPr>
                </pic:pic>
              </a:graphicData>
            </a:graphic>
          </wp:inline>
        </w:drawing>
      </w:r>
    </w:p>
    <w:bookmarkEnd w:id="11"/>
    <w:p w14:paraId="6E2637B6" w14:textId="77777777" w:rsidR="00B350F7" w:rsidRPr="001A38C8" w:rsidRDefault="00000000">
      <w:pPr>
        <w:pStyle w:val="ImageCaption"/>
        <w:jc w:val="center"/>
        <w:rPr>
          <w:rFonts w:cs="Times New Roman"/>
        </w:rPr>
      </w:pPr>
      <w:r w:rsidRPr="001A38C8">
        <w:rPr>
          <w:rFonts w:cs="Times New Roman"/>
        </w:rPr>
        <w:t>Figure 4: Downy mildew lesion emergence and development on Yeniang No. 2 (MPT) leaves in the Du’an experimental vineyard, Hechi. Panels show severity levels from a single-leaf perspective: (a) healthy; (b) 1% (post-incubation visible lesion); (c) 5%. Photos by team member Qi Tian (2023).</w:t>
      </w:r>
    </w:p>
    <w:p w14:paraId="4B3422AC" w14:textId="77777777" w:rsidR="00B350F7" w:rsidRPr="001A38C8" w:rsidRDefault="00000000">
      <w:pPr>
        <w:pStyle w:val="Heading3"/>
        <w:rPr>
          <w:rFonts w:cs="Times New Roman"/>
        </w:rPr>
      </w:pPr>
      <w:bookmarkStart w:id="12" w:name="airborne-sporangia-monitoring"/>
      <w:bookmarkEnd w:id="10"/>
      <w:r w:rsidRPr="001A38C8">
        <w:rPr>
          <w:rFonts w:cs="Times New Roman"/>
        </w:rPr>
        <w:t>2.2.3 Airborne sporangia monitoring</w:t>
      </w:r>
    </w:p>
    <w:p w14:paraId="2A230D5B" w14:textId="77777777" w:rsidR="00B350F7" w:rsidRPr="001A38C8" w:rsidRDefault="00000000">
      <w:pPr>
        <w:pStyle w:val="FirstParagraph"/>
        <w:rPr>
          <w:rFonts w:cs="Times New Roman"/>
        </w:rPr>
      </w:pPr>
      <w:r w:rsidRPr="001A38C8">
        <w:rPr>
          <w:rFonts w:cs="Times New Roman"/>
        </w:rPr>
        <w:t xml:space="preserve">At each vineyard, one passive spore trap (model TPBZ1, Zhejiang Top Cloud-Agri Technology Co., Ltd., China) was installed adjacent to CK-1, the fungicide-free control plot, to monitor the airborne dispersal of </w:t>
      </w:r>
      <w:r w:rsidRPr="001A38C8">
        <w:rPr>
          <w:rFonts w:cs="Times New Roman"/>
          <w:i/>
          <w:iCs/>
        </w:rPr>
        <w:t>P. viticola</w:t>
      </w:r>
      <w:r w:rsidRPr="001A38C8">
        <w:rPr>
          <w:rFonts w:cs="Times New Roman"/>
        </w:rPr>
        <w:t xml:space="preserve"> sporangia. The air inlet was positioned approximately 1.5 m above ground level, matching the average grapevine canopy height. The device sampled sporangia through natural ambient airflow without powered air suction.</w:t>
      </w:r>
    </w:p>
    <w:p w14:paraId="1DC432FA" w14:textId="77777777" w:rsidR="00B350F7" w:rsidRPr="001A38C8" w:rsidRDefault="00000000">
      <w:pPr>
        <w:pStyle w:val="BodyText"/>
        <w:rPr>
          <w:rFonts w:cs="Times New Roman"/>
        </w:rPr>
      </w:pPr>
      <w:r w:rsidRPr="001A38C8">
        <w:rPr>
          <w:rFonts w:cs="Times New Roman"/>
        </w:rPr>
        <w:t xml:space="preserve">Sporangia were collected on glass slides coated with a thin layer of Vaseline, which were replaced every three days. Samples were sealed and transported to the laboratory of the Guangxi Academy of Agricultural Sciences for quantitative analysis. For microscopic observation, each slide was rinsed with 300 </w:t>
      </w:r>
      <m:oMath>
        <m:r>
          <w:rPr>
            <w:rFonts w:ascii="Cambria Math" w:hAnsi="Cambria Math" w:cs="Times New Roman"/>
          </w:rPr>
          <m:t>μ</m:t>
        </m:r>
      </m:oMath>
      <w:r w:rsidRPr="001A38C8">
        <w:rPr>
          <w:rFonts w:cs="Times New Roman"/>
        </w:rPr>
        <w:t xml:space="preserve">L of sterile water, and five 30 </w:t>
      </w:r>
      <m:oMath>
        <m:r>
          <w:rPr>
            <w:rFonts w:ascii="Cambria Math" w:hAnsi="Cambria Math" w:cs="Times New Roman"/>
          </w:rPr>
          <m:t>μ</m:t>
        </m:r>
      </m:oMath>
      <w:r w:rsidRPr="001A38C8">
        <w:rPr>
          <w:rFonts w:cs="Times New Roman"/>
        </w:rPr>
        <w:t>L subsamples were collected from different depths of the rinse solution to minimize bias associated with particle sedimentation (</w:t>
      </w:r>
      <w:hyperlink w:anchor="Xe6e679311f335389e47f354d0dda93b5fedceaa">
        <w:r w:rsidR="00B350F7" w:rsidRPr="001A38C8">
          <w:rPr>
            <w:rStyle w:val="Hyperlink"/>
            <w:rFonts w:cs="Times New Roman"/>
          </w:rPr>
          <w:t>Figure 5b–d</w:t>
        </w:r>
      </w:hyperlink>
      <w:r w:rsidRPr="001A38C8">
        <w:rPr>
          <w:rFonts w:cs="Times New Roman"/>
        </w:rPr>
        <w:t>). Subsamples were transferred to concave glass slides for microscopic observation and imaging.</w:t>
      </w:r>
    </w:p>
    <w:p w14:paraId="0AE46F46" w14:textId="77777777" w:rsidR="00B350F7" w:rsidRPr="001A38C8" w:rsidRDefault="00000000">
      <w:pPr>
        <w:pStyle w:val="BodyText"/>
        <w:rPr>
          <w:rFonts w:cs="Times New Roman"/>
        </w:rPr>
      </w:pPr>
      <w:r w:rsidRPr="001A38C8">
        <w:rPr>
          <w:rFonts w:cs="Times New Roman"/>
        </w:rPr>
        <w:lastRenderedPageBreak/>
        <w:t>Images and resulting counts were independently verified by two trained laboratory technicians before being used in model calibration and validation (</w:t>
      </w:r>
      <w:hyperlink w:anchor="Xe6e679311f335389e47f354d0dda93b5fedceaa">
        <w:r w:rsidR="00B350F7" w:rsidRPr="001A38C8">
          <w:rPr>
            <w:rStyle w:val="Hyperlink"/>
            <w:rFonts w:cs="Times New Roman"/>
          </w:rPr>
          <w:t>Figure 5c</w:t>
        </w:r>
      </w:hyperlink>
      <w:r w:rsidRPr="001A38C8">
        <w:rPr>
          <w:rFonts w:cs="Times New Roman"/>
        </w:rPr>
        <w:t>).</w:t>
      </w:r>
    </w:p>
    <w:p w14:paraId="788D8AB9" w14:textId="77777777" w:rsidR="00B350F7" w:rsidRPr="001A38C8" w:rsidRDefault="00000000">
      <w:pPr>
        <w:pStyle w:val="FigureImage"/>
        <w:jc w:val="center"/>
        <w:rPr>
          <w:rFonts w:cs="Times New Roman"/>
        </w:rPr>
      </w:pPr>
      <w:bookmarkStart w:id="13" w:name="Xe6e679311f335389e47f354d0dda93b5fedceaa"/>
      <w:r w:rsidRPr="001A38C8">
        <w:rPr>
          <w:rFonts w:cs="Times New Roman"/>
          <w:noProof/>
        </w:rPr>
        <w:drawing>
          <wp:inline distT="0" distB="0" distL="0" distR="0" wp14:anchorId="01686C3F" wp14:editId="1E0D69F5">
            <wp:extent cx="5334000" cy="4361691"/>
            <wp:effectExtent l="0" t="0" r="0" b="0"/>
            <wp:docPr id="34" name="Picture" descr="Figure 5"/>
            <wp:cNvGraphicFramePr/>
            <a:graphic xmlns:a="http://schemas.openxmlformats.org/drawingml/2006/main">
              <a:graphicData uri="http://schemas.openxmlformats.org/drawingml/2006/picture">
                <pic:pic xmlns:pic="http://schemas.openxmlformats.org/drawingml/2006/picture">
                  <pic:nvPicPr>
                    <pic:cNvPr id="35" name="Picture" descr="fig/figure_05.png"/>
                    <pic:cNvPicPr>
                      <a:picLocks noChangeAspect="1" noChangeArrowheads="1"/>
                    </pic:cNvPicPr>
                  </pic:nvPicPr>
                  <pic:blipFill>
                    <a:blip r:embed="rId13"/>
                    <a:stretch>
                      <a:fillRect/>
                    </a:stretch>
                  </pic:blipFill>
                  <pic:spPr bwMode="auto">
                    <a:xfrm>
                      <a:off x="0" y="0"/>
                      <a:ext cx="5334000" cy="4361691"/>
                    </a:xfrm>
                    <a:prstGeom prst="rect">
                      <a:avLst/>
                    </a:prstGeom>
                    <a:noFill/>
                    <a:ln w="9525">
                      <a:noFill/>
                      <a:headEnd/>
                      <a:tailEnd/>
                    </a:ln>
                  </pic:spPr>
                </pic:pic>
              </a:graphicData>
            </a:graphic>
          </wp:inline>
        </w:drawing>
      </w:r>
    </w:p>
    <w:bookmarkEnd w:id="13"/>
    <w:p w14:paraId="690FC12F" w14:textId="77777777" w:rsidR="00B350F7" w:rsidRPr="001A38C8" w:rsidRDefault="00000000">
      <w:pPr>
        <w:pStyle w:val="ImageCaption"/>
        <w:jc w:val="center"/>
        <w:rPr>
          <w:rFonts w:cs="Times New Roman"/>
        </w:rPr>
      </w:pPr>
      <w:r w:rsidRPr="001A38C8">
        <w:rPr>
          <w:rFonts w:cs="Times New Roman"/>
        </w:rPr>
        <w:t>Figure 5: Schematic illustration of sporangia collection and processing in the vineyard experiment. (a) Schematic of dynamic monitoring of sporangia; (b) schematic of laboratory preprocessing; (c) schematic of sporangia image and quantity acquisition; (d) representative sporangia images obtained from the untreated sporangia slide and the washed sporangia slide.</w:t>
      </w:r>
    </w:p>
    <w:p w14:paraId="1C730A28" w14:textId="77777777" w:rsidR="00B350F7" w:rsidRPr="001A38C8" w:rsidRDefault="00000000">
      <w:pPr>
        <w:pStyle w:val="Heading3"/>
        <w:rPr>
          <w:rFonts w:cs="Times New Roman"/>
        </w:rPr>
      </w:pPr>
      <w:bookmarkStart w:id="14" w:name="meteorological-data"/>
      <w:bookmarkEnd w:id="12"/>
      <w:r w:rsidRPr="001A38C8">
        <w:rPr>
          <w:rFonts w:cs="Times New Roman"/>
        </w:rPr>
        <w:t>2.2.4 Meteorological data</w:t>
      </w:r>
    </w:p>
    <w:p w14:paraId="04597175" w14:textId="77777777" w:rsidR="00B350F7" w:rsidRPr="001A38C8" w:rsidRDefault="00000000">
      <w:pPr>
        <w:pStyle w:val="FirstParagraph"/>
        <w:rPr>
          <w:rFonts w:cs="Times New Roman"/>
        </w:rPr>
      </w:pPr>
      <w:r w:rsidRPr="001A38C8">
        <w:rPr>
          <w:rFonts w:cs="Times New Roman"/>
        </w:rPr>
        <w:t>Meteorological data were retrieved from the Open-Meteo platform (</w:t>
      </w:r>
      <w:hyperlink r:id="rId14">
        <w:r w:rsidR="00B350F7" w:rsidRPr="001A38C8">
          <w:rPr>
            <w:rStyle w:val="Hyperlink"/>
            <w:rFonts w:cs="Times New Roman"/>
            <w:u w:val="single"/>
          </w:rPr>
          <w:t>https://open-meteo.com/</w:t>
        </w:r>
      </w:hyperlink>
      <w:r w:rsidRPr="001A38C8">
        <w:rPr>
          <w:rFonts w:cs="Times New Roman"/>
        </w:rPr>
        <w:t>), which provides ERA5 reanalysis products with hourly temporal resolution.</w:t>
      </w:r>
      <w:hyperlink w:anchor="Reference_18" w:history="1">
        <w:r>
          <w:rPr>
            <w:rFonts w:cs="Times New Roman"/>
            <w:vertAlign w:val="superscript"/>
          </w:rPr>
          <w:t>18</w:t>
        </w:r>
      </w:hyperlink>
      <w:r w:rsidRPr="001A38C8">
        <w:rPr>
          <w:rFonts w:cs="Times New Roman"/>
        </w:rPr>
        <w:t xml:space="preserve"> For each experimental orchard, geographic coordinates were used to extract site-specific time series of air temperature (T), relative humidity (RH), wind speed (W), dew-point temperature (T</w:t>
      </w:r>
      <w:r w:rsidRPr="001A38C8">
        <w:rPr>
          <w:rFonts w:cs="Times New Roman"/>
          <w:vertAlign w:val="subscript"/>
        </w:rPr>
        <w:t>d</w:t>
      </w:r>
      <w:r w:rsidRPr="001A38C8">
        <w:rPr>
          <w:rFonts w:cs="Times New Roman"/>
        </w:rPr>
        <w:t xml:space="preserve">), and precipitation (R). Attached- and detached-state sporangial mortality used the empirical index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-RH/</m:t>
        </m:r>
        <m:r>
          <w:rPr>
            <w:rFonts w:ascii="Cambria Math" w:hAnsi="Cambria Math" w:cs="Times New Roman"/>
          </w:rPr>
          <m:t>100</m:t>
        </m:r>
        <m:r>
          <m:rPr>
            <m:sty m:val="p"/>
          </m:rPr>
          <w:rPr>
            <w:rFonts w:ascii="Cambria Math" w:hAnsi="Cambria Math" w:cs="Times New Roman"/>
          </w:rPr>
          <m:t>)</m:t>
        </m:r>
      </m:oMath>
      <w:r w:rsidRPr="001A38C8">
        <w:rPr>
          <w:rFonts w:cs="Times New Roman"/>
        </w:rPr>
        <w:t>, which is distinct from physical vapour pressure deficit.</w:t>
      </w:r>
      <w:hyperlink w:anchor="Reference_10" w:history="1">
        <w:r>
          <w:rPr>
            <w:rFonts w:cs="Times New Roman"/>
            <w:vertAlign w:val="superscript"/>
          </w:rPr>
          <w:t>10</w:t>
        </w:r>
      </w:hyperlink>
      <w:r w:rsidRPr="001A38C8">
        <w:rPr>
          <w:rFonts w:cs="Times New Roman"/>
        </w:rPr>
        <w:t xml:space="preserve"> Because direct leaf-wetness observations were unavailable, dew-point depression (DPD) was used as a </w:t>
      </w:r>
      <w:r w:rsidRPr="001A38C8">
        <w:rPr>
          <w:rFonts w:cs="Times New Roman"/>
        </w:rPr>
        <w:lastRenderedPageBreak/>
        <w:t>leaf-wetness proxy.</w:t>
      </w:r>
      <w:hyperlink w:anchor="Reference_19" w:history="1">
        <w:r>
          <w:rPr>
            <w:rFonts w:cs="Times New Roman"/>
            <w:vertAlign w:val="superscript"/>
          </w:rPr>
          <w:t>19</w:t>
        </w:r>
      </w:hyperlink>
      <w:r w:rsidRPr="001A38C8">
        <w:rPr>
          <w:rFonts w:cs="Times New Roman"/>
        </w:rPr>
        <w:t xml:space="preserve"> DPD was calculated as </w:t>
      </w:r>
      <m:oMath>
        <m:r>
          <m:rPr>
            <m:sty m:val="p"/>
          </m:rPr>
          <w:rPr>
            <w:rFonts w:ascii="Cambria Math" w:hAnsi="Cambria Math" w:cs="Times New Roman"/>
          </w:rPr>
          <m:t>DPD=</m:t>
        </m:r>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d</m:t>
            </m:r>
          </m:sub>
        </m:sSub>
      </m:oMath>
      <w:r w:rsidRPr="001A38C8">
        <w:rPr>
          <w:rFonts w:cs="Times New Roman"/>
        </w:rPr>
        <w:t xml:space="preserve">; rainfall or DPD </w:t>
      </w:r>
      <m:oMath>
        <m:r>
          <m:rPr>
            <m:sty m:val="p"/>
          </m:rPr>
          <w:rPr>
            <w:rFonts w:ascii="Cambria Math" w:hAnsi="Cambria Math" w:cs="Times New Roman"/>
          </w:rPr>
          <m:t>&lt;</m:t>
        </m:r>
        <m:r>
          <w:rPr>
            <w:rFonts w:ascii="Cambria Math" w:hAnsi="Cambria Math" w:cs="Times New Roman"/>
          </w:rPr>
          <m:t>2.0</m:t>
        </m:r>
      </m:oMath>
      <w:r w:rsidRPr="001A38C8">
        <w:rPr>
          <w:rFonts w:cs="Times New Roman"/>
        </w:rPr>
        <w:t xml:space="preserve"> °C indicated wetness, DPD </w:t>
      </w:r>
      <m:oMath>
        <m:r>
          <m:rPr>
            <m:sty m:val="p"/>
          </m:rPr>
          <w:rPr>
            <w:rFonts w:ascii="Cambria Math" w:hAnsi="Cambria Math" w:cs="Times New Roman"/>
          </w:rPr>
          <m:t>&gt;</m:t>
        </m:r>
        <m:r>
          <w:rPr>
            <w:rFonts w:ascii="Cambria Math" w:hAnsi="Cambria Math" w:cs="Times New Roman"/>
          </w:rPr>
          <m:t>3.8</m:t>
        </m:r>
      </m:oMath>
      <w:r w:rsidRPr="001A38C8">
        <w:rPr>
          <w:rFonts w:cs="Times New Roman"/>
        </w:rPr>
        <w:t xml:space="preserve"> °C indicated drying, and intermediate values retained the previous wet/dry state.</w:t>
      </w:r>
    </w:p>
    <w:p w14:paraId="76624F92" w14:textId="77777777" w:rsidR="00B350F7" w:rsidRPr="001A38C8" w:rsidRDefault="00000000">
      <w:pPr>
        <w:pStyle w:val="Heading2"/>
        <w:rPr>
          <w:rFonts w:ascii="Times New Roman" w:hAnsi="Times New Roman" w:cs="Times New Roman"/>
        </w:rPr>
      </w:pPr>
      <w:bookmarkStart w:id="15" w:name="model-structure-and-refinements"/>
      <w:bookmarkEnd w:id="5"/>
      <w:bookmarkEnd w:id="14"/>
      <w:r w:rsidRPr="001A38C8">
        <w:rPr>
          <w:rFonts w:ascii="Times New Roman" w:hAnsi="Times New Roman" w:cs="Times New Roman"/>
        </w:rPr>
        <w:t>2.3 Model structure and refinements</w:t>
      </w:r>
    </w:p>
    <w:p w14:paraId="34938B7A" w14:textId="77777777" w:rsidR="00B350F7" w:rsidRPr="001A38C8" w:rsidRDefault="00000000">
      <w:pPr>
        <w:pStyle w:val="Heading3"/>
        <w:rPr>
          <w:rFonts w:cs="Times New Roman"/>
        </w:rPr>
      </w:pPr>
      <w:bookmarkStart w:id="16" w:name="X24bb838c5ee5cc86ed7cca7230d6cb20108be7d"/>
      <w:r w:rsidRPr="001A38C8">
        <w:rPr>
          <w:rFonts w:cs="Times New Roman"/>
        </w:rPr>
        <w:t>2.3.1 First Seasonal Infection Model (FSIM): baseline mechanistic framework</w:t>
      </w:r>
    </w:p>
    <w:p w14:paraId="1B5A8F54" w14:textId="77777777" w:rsidR="00B350F7" w:rsidRPr="001A38C8" w:rsidRDefault="00000000">
      <w:pPr>
        <w:pStyle w:val="FirstParagraph"/>
        <w:rPr>
          <w:rFonts w:cs="Times New Roman"/>
        </w:rPr>
      </w:pPr>
      <w:r w:rsidRPr="001A38C8">
        <w:rPr>
          <w:rFonts w:cs="Times New Roman"/>
        </w:rPr>
        <w:t>FSIM represents first-season symptom onset initiated by asexual sporangia under subtropical double cropping (</w:t>
      </w:r>
      <w:hyperlink w:anchor="Xa756833166a65068fadffdfae40c02e9ca41991">
        <w:r w:rsidR="00B350F7" w:rsidRPr="001A38C8">
          <w:rPr>
            <w:rStyle w:val="Hyperlink"/>
            <w:rFonts w:cs="Times New Roman"/>
          </w:rPr>
          <w:t>Figure 6</w:t>
        </w:r>
      </w:hyperlink>
      <w:r w:rsidRPr="001A38C8">
        <w:rPr>
          <w:rFonts w:cs="Times New Roman"/>
        </w:rPr>
        <w:t>). Zoospore release and survival, infection, incubation and symptom expression follow the framework of Rossi et al.,</w:t>
      </w:r>
      <w:hyperlink w:anchor="Reference_08" w:history="1">
        <w:r>
          <w:rPr>
            <w:rFonts w:cs="Times New Roman"/>
            <w:vertAlign w:val="superscript"/>
          </w:rPr>
          <w:t>8</w:t>
        </w:r>
      </w:hyperlink>
      <w:r w:rsidRPr="001A38C8">
        <w:rPr>
          <w:rFonts w:cs="Times New Roman"/>
        </w:rPr>
        <w:t xml:space="preserve"> with upstream sporulation and mortality relations from Brischetto et al.</w:t>
      </w:r>
      <w:hyperlink w:anchor="Reference_10" w:history="1">
        <w:r>
          <w:rPr>
            <w:rFonts w:cs="Times New Roman"/>
            <w:vertAlign w:val="superscript"/>
          </w:rPr>
          <w:t>10</w:t>
        </w:r>
      </w:hyperlink>
      <w:r w:rsidRPr="001A38C8">
        <w:rPr>
          <w:rFonts w:cs="Times New Roman"/>
        </w:rPr>
        <w:t xml:space="preserve"> Simulations began on 1 February as a calculation convention within the regional December–February leaf-fall period; this date is not a measured biological activation date.</w:t>
      </w:r>
    </w:p>
    <w:p w14:paraId="7C395258" w14:textId="77777777" w:rsidR="00B350F7" w:rsidRPr="001A38C8" w:rsidRDefault="00000000">
      <w:pPr>
        <w:pStyle w:val="BodyText"/>
        <w:rPr>
          <w:rFonts w:cs="Times New Roman"/>
        </w:rPr>
      </w:pPr>
      <w:r w:rsidRPr="001A38C8">
        <w:rPr>
          <w:rFonts w:cs="Times New Roman"/>
        </w:rPr>
        <w:t xml:space="preserve">The adaptation represents recurrent sporangial supply as discrete cohorts tracked through attached and airborne survival, wind dispersal and rainfall-dependent deposition. A viable attached cohort disperses at the first hour </w:t>
      </w:r>
      <m:oMath>
        <m:sSubSup>
          <m:sSubSupPr>
            <m:ctrlPr>
              <w:rPr>
                <w:rFonts w:ascii="Cambria Math" w:hAnsi="Cambria Math" w:cs="Times New Roman"/>
              </w:rPr>
            </m:ctrlPr>
          </m:sSubSupPr>
          <m:e>
            <m:r>
              <w:rPr>
                <w:rFonts w:ascii="Cambria Math" w:hAnsi="Cambria Math" w:cs="Times New Roman"/>
              </w:rPr>
              <m:t>t</m:t>
            </m:r>
          </m:e>
          <m:sub>
            <m:r>
              <w:rPr>
                <w:rFonts w:ascii="Cambria Math" w:hAnsi="Cambria Math" w:cs="Times New Roman"/>
              </w:rPr>
              <m:t>i</m:t>
            </m:r>
          </m:sub>
          <m:sup>
            <m:r>
              <m:rPr>
                <m:sty m:val="p"/>
              </m:rPr>
              <w:rPr>
                <w:rFonts w:ascii="Cambria Math" w:hAnsi="Cambria Math" w:cs="Times New Roman"/>
              </w:rPr>
              <m:t>w</m:t>
            </m:r>
          </m:sup>
        </m:sSubSup>
      </m:oMath>
      <w:r w:rsidRPr="001A38C8">
        <w:rPr>
          <w:rFonts w:cs="Times New Roman"/>
        </w:rPr>
        <w:t xml:space="preserve"> with wind speed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min</m:t>
            </m:r>
          </m:sub>
        </m:sSub>
      </m:oMath>
      <w:r w:rsidRPr="001A38C8">
        <w:rPr>
          <w:rFonts w:cs="Times New Roman"/>
        </w:rPr>
        <w:t xml:space="preserve">. Its surviving dose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t</m:t>
            </m:r>
          </m:e>
          <m:sub>
            <m:r>
              <w:rPr>
                <w:rFonts w:ascii="Cambria Math" w:hAnsi="Cambria Math" w:cs="Times New Roman"/>
              </w:rPr>
              <m:t>i</m:t>
            </m:r>
          </m:sub>
          <m:sup>
            <m:r>
              <m:rPr>
                <m:sty m:val="p"/>
              </m:rPr>
              <w:rPr>
                <w:rFonts w:ascii="Cambria Math" w:hAnsi="Cambria Math" w:cs="Times New Roman"/>
              </w:rPr>
              <m:t>w</m:t>
            </m:r>
          </m:sup>
        </m:sSubSup>
        <m:r>
          <m:rPr>
            <m:sty m:val="p"/>
          </m:rPr>
          <w:rPr>
            <w:rFonts w:ascii="Cambria Math" w:hAnsi="Cambria Math" w:cs="Times New Roman"/>
          </w:rPr>
          <m:t>)</m:t>
        </m:r>
      </m:oMath>
      <w:r w:rsidRPr="001A38C8">
        <w:rPr>
          <w:rFonts w:cs="Times New Roman"/>
        </w:rPr>
        <w:t xml:space="preserve"> enters the airborne pool, where survival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1A38C8">
        <w:rPr>
          <w:rFonts w:cs="Times New Roman"/>
        </w:rPr>
        <w:t xml:space="preserve"> and effective deposition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1A38C8">
        <w:rPr>
          <w:rFonts w:cs="Times New Roman"/>
        </w:rPr>
        <w:t xml:space="preserve"> are</w:t>
      </w:r>
    </w:p>
    <w:p w14:paraId="3E18E916" w14:textId="77777777" w:rsidR="00B350F7" w:rsidRPr="001A38C8" w:rsidRDefault="00000000">
      <w:pPr>
        <w:pStyle w:val="BodyText"/>
        <w:keepLines/>
        <w:tabs>
          <w:tab w:val="center" w:pos="4464"/>
          <w:tab w:val="right" w:pos="8928"/>
        </w:tabs>
        <w:spacing w:before="160" w:after="160" w:line="288" w:lineRule="auto"/>
        <w:rPr>
          <w:rFonts w:cs="Times New Roman"/>
        </w:rPr>
      </w:pPr>
      <w:r w:rsidRPr="001A38C8">
        <w:rPr>
          <w:rFonts w:cs="Times New Roman"/>
        </w:rPr>
        <w:tab/>
      </w:r>
      <m:oMath>
        <m:m>
          <m:mPr>
            <m:plcHide m:val="1"/>
            <m:mcs>
              <m:mc>
                <m:mcPr>
                  <m:count m:val="1"/>
                  <m:mcJc m:val="right"/>
                </m:mcPr>
              </m:mc>
            </m:mcs>
            <m:ctrlPr>
              <w:rPr>
                <w:rFonts w:ascii="Cambria Math" w:hAnsi="Cambria Math" w:cs="Times New Roman"/>
              </w:rPr>
            </m:ctrlPr>
          </m:mPr>
          <m:mr>
            <m:e>
              <m:sSub>
                <m:sSubPr>
                  <m:ctrlPr>
                    <w:rPr>
                      <w:rFonts w:ascii="Cambria Math" w:hAnsi="Cambria Math" w:cs="Times New Roman"/>
                    </w:rPr>
                  </m:ctrlPr>
                </m:sSubPr>
                <m:e>
                  <m:r>
                    <w:rPr>
                      <w:rFonts w:ascii="Cambria Math" w:hAnsi="Cambria Math" w:cs="Times New Roman"/>
                      <w:sz w:val="22"/>
                    </w:rPr>
                    <m:t>B</m:t>
                  </m:r>
                </m:e>
                <m:sub>
                  <m:r>
                    <w:rPr>
                      <w:rFonts w:ascii="Cambria Math" w:hAnsi="Cambria Math" w:cs="Times New Roman"/>
                      <w:sz w:val="22"/>
                    </w:rPr>
                    <m:t>i</m:t>
                  </m:r>
                </m:sub>
              </m:sSub>
              <m:r>
                <m:rPr>
                  <m:sty m:val="p"/>
                </m:rPr>
                <w:rPr>
                  <w:rFonts w:ascii="Cambria Math" w:hAnsi="Cambria Math" w:cs="Times New Roman"/>
                  <w:sz w:val="22"/>
                </w:rPr>
                <m:t>(</m:t>
              </m:r>
              <m:r>
                <w:rPr>
                  <w:rFonts w:ascii="Cambria Math" w:hAnsi="Cambria Math" w:cs="Times New Roman"/>
                  <w:sz w:val="22"/>
                </w:rPr>
                <m:t>t</m:t>
              </m:r>
              <m:r>
                <m:rPr>
                  <m:sty m:val="p"/>
                </m:rPr>
                <w:rPr>
                  <w:rFonts w:ascii="Cambria Math" w:hAnsi="Cambria Math" w:cs="Times New Roman"/>
                  <w:sz w:val="22"/>
                </w:rPr>
                <m:t>)=</m:t>
              </m:r>
              <m:sSub>
                <m:sSubPr>
                  <m:ctrlPr>
                    <w:rPr>
                      <w:rFonts w:ascii="Cambria Math" w:hAnsi="Cambria Math" w:cs="Times New Roman"/>
                    </w:rPr>
                  </m:ctrlPr>
                </m:sSubPr>
                <m:e>
                  <m:r>
                    <w:rPr>
                      <w:rFonts w:ascii="Cambria Math" w:hAnsi="Cambria Math" w:cs="Times New Roman"/>
                      <w:sz w:val="22"/>
                    </w:rPr>
                    <m:t>A</m:t>
                  </m:r>
                </m:e>
                <m:sub>
                  <m:r>
                    <w:rPr>
                      <w:rFonts w:ascii="Cambria Math" w:hAnsi="Cambria Math" w:cs="Times New Roman"/>
                      <w:sz w:val="22"/>
                    </w:rPr>
                    <m:t>i</m:t>
                  </m:r>
                </m:sub>
              </m:sSub>
              <m:r>
                <m:rPr>
                  <m:sty m:val="p"/>
                </m:rPr>
                <w:rPr>
                  <w:rFonts w:ascii="Cambria Math" w:hAnsi="Cambria Math" w:cs="Times New Roman"/>
                  <w:sz w:val="22"/>
                </w:rPr>
                <m:t>(</m:t>
              </m:r>
              <m:sSubSup>
                <m:sSubSupPr>
                  <m:ctrlPr>
                    <w:rPr>
                      <w:rFonts w:ascii="Cambria Math" w:hAnsi="Cambria Math" w:cs="Times New Roman"/>
                    </w:rPr>
                  </m:ctrlPr>
                </m:sSubSupPr>
                <m:e>
                  <m:r>
                    <w:rPr>
                      <w:rFonts w:ascii="Cambria Math" w:hAnsi="Cambria Math" w:cs="Times New Roman"/>
                      <w:sz w:val="22"/>
                    </w:rPr>
                    <m:t>t</m:t>
                  </m:r>
                </m:e>
                <m:sub>
                  <m:r>
                    <w:rPr>
                      <w:rFonts w:ascii="Cambria Math" w:hAnsi="Cambria Math" w:cs="Times New Roman"/>
                      <w:sz w:val="22"/>
                    </w:rPr>
                    <m:t>i</m:t>
                  </m:r>
                </m:sub>
                <m:sup>
                  <m:r>
                    <m:rPr>
                      <m:sty m:val="p"/>
                    </m:rPr>
                    <w:rPr>
                      <w:rFonts w:ascii="Cambria Math" w:hAnsi="Cambria Math" w:cs="Times New Roman"/>
                      <w:sz w:val="22"/>
                    </w:rPr>
                    <m:t>w</m:t>
                  </m:r>
                </m:sup>
              </m:sSubSup>
              <m:r>
                <m:rPr>
                  <m:sty m:val="p"/>
                </m:rPr>
                <w:rPr>
                  <w:rFonts w:ascii="Cambria Math" w:hAnsi="Cambria Math" w:cs="Times New Roman"/>
                  <w:sz w:val="22"/>
                </w:rPr>
                <m:t>)max</m:t>
              </m:r>
              <m:r>
                <w:rPr>
                  <w:rFonts w:ascii="Cambria Math" w:hAnsi="Cambria Math" w:cs="Times New Roman"/>
                  <w:sz w:val="22"/>
                </w:rPr>
                <m:t>​</m:t>
              </m:r>
              <m:d>
                <m:dPr>
                  <m:ctrlPr>
                    <w:rPr>
                      <w:rFonts w:ascii="Cambria Math" w:hAnsi="Cambria Math" w:cs="Times New Roman"/>
                    </w:rPr>
                  </m:ctrlPr>
                </m:dPr>
                <m:e>
                  <m:r>
                    <w:rPr>
                      <w:rFonts w:ascii="Cambria Math" w:hAnsi="Cambria Math" w:cs="Times New Roman"/>
                      <w:sz w:val="22"/>
                    </w:rPr>
                    <m:t>1</m:t>
                  </m:r>
                  <m:r>
                    <m:rPr>
                      <m:sty m:val="p"/>
                    </m:rPr>
                    <w:rPr>
                      <w:rFonts w:ascii="Cambria Math" w:hAnsi="Cambria Math" w:cs="Times New Roman"/>
                      <w:sz w:val="22"/>
                    </w:rPr>
                    <m:t>-</m:t>
                  </m:r>
                  <m:nary>
                    <m:naryPr>
                      <m:chr m:val="∑"/>
                      <m:limLoc m:val="undOvr"/>
                      <m:ctrlPr>
                        <w:rPr>
                          <w:rFonts w:ascii="Cambria Math" w:hAnsi="Cambria Math" w:cs="Times New Roman"/>
                        </w:rPr>
                      </m:ctrlPr>
                    </m:naryPr>
                    <m:sub>
                      <m:r>
                        <w:rPr>
                          <w:rFonts w:ascii="Cambria Math" w:hAnsi="Cambria Math" w:cs="Times New Roman"/>
                          <w:sz w:val="22"/>
                        </w:rPr>
                        <m:t>u</m:t>
                      </m:r>
                      <m:r>
                        <m:rPr>
                          <m:sty m:val="p"/>
                        </m:rPr>
                        <w:rPr>
                          <w:rFonts w:ascii="Cambria Math" w:hAnsi="Cambria Math" w:cs="Times New Roman"/>
                          <w:sz w:val="22"/>
                        </w:rPr>
                        <m:t>=</m:t>
                      </m:r>
                      <m:sSubSup>
                        <m:sSubSupPr>
                          <m:ctrlPr>
                            <w:rPr>
                              <w:rFonts w:ascii="Cambria Math" w:hAnsi="Cambria Math" w:cs="Times New Roman"/>
                            </w:rPr>
                          </m:ctrlPr>
                        </m:sSubSupPr>
                        <m:e>
                          <m:r>
                            <w:rPr>
                              <w:rFonts w:ascii="Cambria Math" w:hAnsi="Cambria Math" w:cs="Times New Roman"/>
                              <w:sz w:val="22"/>
                            </w:rPr>
                            <m:t>t</m:t>
                          </m:r>
                        </m:e>
                        <m:sub>
                          <m:r>
                            <w:rPr>
                              <w:rFonts w:ascii="Cambria Math" w:hAnsi="Cambria Math" w:cs="Times New Roman"/>
                              <w:sz w:val="22"/>
                            </w:rPr>
                            <m:t>i</m:t>
                          </m:r>
                        </m:sub>
                        <m:sup>
                          <m:r>
                            <m:rPr>
                              <m:sty m:val="p"/>
                            </m:rPr>
                            <w:rPr>
                              <w:rFonts w:ascii="Cambria Math" w:hAnsi="Cambria Math" w:cs="Times New Roman"/>
                              <w:sz w:val="22"/>
                            </w:rPr>
                            <m:t>w</m:t>
                          </m:r>
                        </m:sup>
                      </m:sSubSup>
                    </m:sub>
                    <m:sup>
                      <m:r>
                        <w:rPr>
                          <w:rFonts w:ascii="Cambria Math" w:hAnsi="Cambria Math" w:cs="Times New Roman"/>
                          <w:sz w:val="22"/>
                        </w:rPr>
                        <m:t>t</m:t>
                      </m:r>
                    </m:sup>
                    <m:e>
                      <m:sSub>
                        <m:sSubPr>
                          <m:ctrlPr>
                            <w:rPr>
                              <w:rFonts w:ascii="Cambria Math" w:hAnsi="Cambria Math" w:cs="Times New Roman"/>
                            </w:rPr>
                          </m:ctrlPr>
                        </m:sSubPr>
                        <m:e>
                          <m:r>
                            <w:rPr>
                              <w:rFonts w:ascii="Cambria Math" w:hAnsi="Cambria Math" w:cs="Times New Roman"/>
                              <w:sz w:val="22"/>
                            </w:rPr>
                            <m:t>μ</m:t>
                          </m:r>
                        </m:e>
                        <m:sub>
                          <m:r>
                            <w:rPr>
                              <w:rFonts w:ascii="Cambria Math" w:hAnsi="Cambria Math" w:cs="Times New Roman"/>
                              <w:sz w:val="22"/>
                            </w:rPr>
                            <m:t>B</m:t>
                          </m:r>
                        </m:sub>
                      </m:sSub>
                    </m:e>
                  </m:nary>
                  <m:r>
                    <m:rPr>
                      <m:sty m:val="p"/>
                    </m:rPr>
                    <w:rPr>
                      <w:rFonts w:ascii="Cambria Math" w:hAnsi="Cambria Math" w:cs="Times New Roman"/>
                      <w:sz w:val="22"/>
                    </w:rPr>
                    <m:t>(</m:t>
                  </m:r>
                  <m:r>
                    <w:rPr>
                      <w:rFonts w:ascii="Cambria Math" w:hAnsi="Cambria Math" w:cs="Times New Roman"/>
                      <w:sz w:val="22"/>
                    </w:rPr>
                    <m:t>u</m:t>
                  </m:r>
                  <m:r>
                    <m:rPr>
                      <m:sty m:val="p"/>
                    </m:rPr>
                    <w:rPr>
                      <w:rFonts w:ascii="Cambria Math" w:hAnsi="Cambria Math" w:cs="Times New Roman"/>
                      <w:sz w:val="22"/>
                    </w:rPr>
                    <m:t>),</m:t>
                  </m:r>
                  <m:r>
                    <w:rPr>
                      <w:rFonts w:ascii="Cambria Math" w:hAnsi="Cambria Math" w:cs="Times New Roman"/>
                      <w:sz w:val="22"/>
                    </w:rPr>
                    <m:t> 0</m:t>
                  </m:r>
                </m:e>
              </m:d>
              <m:r>
                <w:rPr>
                  <w:rFonts w:ascii="Cambria Math" w:hAnsi="Cambria Math" w:cs="Times New Roman"/>
                  <w:sz w:val="22"/>
                </w:rPr>
                <m:t>  t</m:t>
              </m:r>
              <m:r>
                <m:rPr>
                  <m:sty m:val="p"/>
                </m:rPr>
                <w:rPr>
                  <w:rFonts w:ascii="Cambria Math" w:hAnsi="Cambria Math" w:cs="Times New Roman"/>
                  <w:sz w:val="22"/>
                </w:rPr>
                <m:t>≥</m:t>
              </m:r>
              <m:sSubSup>
                <m:sSubSupPr>
                  <m:ctrlPr>
                    <w:rPr>
                      <w:rFonts w:ascii="Cambria Math" w:hAnsi="Cambria Math" w:cs="Times New Roman"/>
                    </w:rPr>
                  </m:ctrlPr>
                </m:sSubSupPr>
                <m:e>
                  <m:r>
                    <w:rPr>
                      <w:rFonts w:ascii="Cambria Math" w:hAnsi="Cambria Math" w:cs="Times New Roman"/>
                      <w:sz w:val="22"/>
                    </w:rPr>
                    <m:t>t</m:t>
                  </m:r>
                </m:e>
                <m:sub>
                  <m:r>
                    <w:rPr>
                      <w:rFonts w:ascii="Cambria Math" w:hAnsi="Cambria Math" w:cs="Times New Roman"/>
                      <w:sz w:val="22"/>
                    </w:rPr>
                    <m:t>i</m:t>
                  </m:r>
                </m:sub>
                <m:sup>
                  <m:r>
                    <m:rPr>
                      <m:sty m:val="p"/>
                    </m:rPr>
                    <w:rPr>
                      <w:rFonts w:ascii="Cambria Math" w:hAnsi="Cambria Math" w:cs="Times New Roman"/>
                      <w:sz w:val="22"/>
                    </w:rPr>
                    <m:t>w</m:t>
                  </m:r>
                </m:sup>
              </m:sSubSup>
            </m:e>
          </m:mr>
          <m:mr>
            <m:e>
              <m:sSub>
                <m:sSubPr>
                  <m:ctrlPr>
                    <w:rPr>
                      <w:rFonts w:ascii="Cambria Math" w:hAnsi="Cambria Math" w:cs="Times New Roman"/>
                    </w:rPr>
                  </m:ctrlPr>
                </m:sSubPr>
                <m:e>
                  <m:r>
                    <w:rPr>
                      <w:rFonts w:ascii="Cambria Math" w:hAnsi="Cambria Math" w:cs="Times New Roman"/>
                      <w:sz w:val="22"/>
                    </w:rPr>
                    <m:t>D</m:t>
                  </m:r>
                </m:e>
                <m:sub>
                  <m:r>
                    <w:rPr>
                      <w:rFonts w:ascii="Cambria Math" w:hAnsi="Cambria Math" w:cs="Times New Roman"/>
                      <w:sz w:val="22"/>
                    </w:rPr>
                    <m:t>i</m:t>
                  </m:r>
                </m:sub>
              </m:sSub>
              <m:r>
                <m:rPr>
                  <m:sty m:val="p"/>
                </m:rPr>
                <w:rPr>
                  <w:rFonts w:ascii="Cambria Math" w:hAnsi="Cambria Math" w:cs="Times New Roman"/>
                  <w:sz w:val="22"/>
                </w:rPr>
                <m:t>(</m:t>
              </m:r>
              <m:r>
                <w:rPr>
                  <w:rFonts w:ascii="Cambria Math" w:hAnsi="Cambria Math" w:cs="Times New Roman"/>
                  <w:sz w:val="22"/>
                </w:rPr>
                <m:t>t</m:t>
              </m:r>
              <m:r>
                <m:rPr>
                  <m:sty m:val="p"/>
                </m:rPr>
                <w:rPr>
                  <w:rFonts w:ascii="Cambria Math" w:hAnsi="Cambria Math" w:cs="Times New Roman"/>
                  <w:sz w:val="22"/>
                </w:rPr>
                <m:t>)=</m:t>
              </m:r>
              <m:d>
                <m:dPr>
                  <m:begChr m:val="{"/>
                  <m:endChr m:val=""/>
                  <m:ctrlPr>
                    <w:rPr>
                      <w:rFonts w:ascii="Cambria Math" w:hAnsi="Cambria Math" w:cs="Times New Roman"/>
                    </w:rPr>
                  </m:ctrlPr>
                </m:dPr>
                <m:e>
                  <m:m>
                    <m:mPr>
                      <m:plcHide m:val="1"/>
                      <m:mcs>
                        <m:mc>
                          <m:mcPr>
                            <m:count m:val="2"/>
                            <m:mcJc m:val="left"/>
                          </m:mcPr>
                        </m:mc>
                      </m:mcs>
                      <m:ctrlPr>
                        <w:rPr>
                          <w:rFonts w:ascii="Cambria Math" w:hAnsi="Cambria Math" w:cs="Times New Roman"/>
                        </w:rPr>
                      </m:ctrlPr>
                    </m:mPr>
                    <m:mr>
                      <m:e>
                        <m:sSub>
                          <m:sSubPr>
                            <m:ctrlPr>
                              <w:rPr>
                                <w:rFonts w:ascii="Cambria Math" w:hAnsi="Cambria Math" w:cs="Times New Roman"/>
                              </w:rPr>
                            </m:ctrlPr>
                          </m:sSubPr>
                          <m:e>
                            <m:r>
                              <w:rPr>
                                <w:rFonts w:ascii="Cambria Math" w:hAnsi="Cambria Math" w:cs="Times New Roman"/>
                                <w:sz w:val="22"/>
                              </w:rPr>
                              <m:t>B</m:t>
                            </m:r>
                          </m:e>
                          <m:sub>
                            <m:r>
                              <w:rPr>
                                <w:rFonts w:ascii="Cambria Math" w:hAnsi="Cambria Math" w:cs="Times New Roman"/>
                                <w:sz w:val="22"/>
                              </w:rPr>
                              <m:t>i</m:t>
                            </m:r>
                          </m:sub>
                        </m:sSub>
                        <m:r>
                          <m:rPr>
                            <m:sty m:val="p"/>
                          </m:rPr>
                          <w:rPr>
                            <w:rFonts w:ascii="Cambria Math" w:hAnsi="Cambria Math" w:cs="Times New Roman"/>
                            <w:sz w:val="22"/>
                          </w:rPr>
                          <m:t>(</m:t>
                        </m:r>
                        <m:r>
                          <w:rPr>
                            <w:rFonts w:ascii="Cambria Math" w:hAnsi="Cambria Math" w:cs="Times New Roman"/>
                            <w:sz w:val="22"/>
                          </w:rPr>
                          <m:t>t</m:t>
                        </m:r>
                        <m:r>
                          <m:rPr>
                            <m:sty m:val="p"/>
                          </m:rPr>
                          <w:rPr>
                            <w:rFonts w:ascii="Cambria Math" w:hAnsi="Cambria Math" w:cs="Times New Roman"/>
                            <w:sz w:val="22"/>
                          </w:rPr>
                          <m:t>)</m:t>
                        </m:r>
                      </m:e>
                      <m:e>
                        <m:r>
                          <m:rPr>
                            <m:nor/>
                          </m:rPr>
                          <w:rPr>
                            <w:rFonts w:cs="Times New Roman"/>
                            <w:sz w:val="22"/>
                          </w:rPr>
                          <m:t xml:space="preserve">if </m:t>
                        </m:r>
                        <m:r>
                          <w:rPr>
                            <w:rFonts w:ascii="Cambria Math" w:hAnsi="Cambria Math" w:cs="Times New Roman"/>
                            <w:sz w:val="22"/>
                          </w:rPr>
                          <m:t>i</m:t>
                        </m:r>
                        <m:r>
                          <m:rPr>
                            <m:scr m:val="script"/>
                            <m:sty m:val="p"/>
                          </m:rPr>
                          <w:rPr>
                            <w:rFonts w:ascii="Cambria Math" w:hAnsi="Cambria Math" w:cs="Times New Roman"/>
                            <w:sz w:val="22"/>
                          </w:rPr>
                          <m:t>∈B(</m:t>
                        </m:r>
                        <m:r>
                          <w:rPr>
                            <w:rFonts w:ascii="Cambria Math" w:hAnsi="Cambria Math" w:cs="Times New Roman"/>
                            <w:sz w:val="22"/>
                          </w:rPr>
                          <m:t>t</m:t>
                        </m:r>
                        <m:r>
                          <m:rPr>
                            <m:sty m:val="p"/>
                          </m:rPr>
                          <w:rPr>
                            <w:rFonts w:ascii="Cambria Math" w:hAnsi="Cambria Math" w:cs="Times New Roman"/>
                            <w:sz w:val="22"/>
                          </w:rPr>
                          <m:t>),</m:t>
                        </m:r>
                        <m:r>
                          <w:rPr>
                            <w:rFonts w:ascii="Cambria Math" w:hAnsi="Cambria Math" w:cs="Times New Roman"/>
                            <w:sz w:val="22"/>
                          </w:rPr>
                          <m:t> </m:t>
                        </m:r>
                        <m:sSub>
                          <m:sSubPr>
                            <m:ctrlPr>
                              <w:rPr>
                                <w:rFonts w:ascii="Cambria Math" w:hAnsi="Cambria Math" w:cs="Times New Roman"/>
                              </w:rPr>
                            </m:ctrlPr>
                          </m:sSubPr>
                          <m:e>
                            <m:r>
                              <w:rPr>
                                <w:rFonts w:ascii="Cambria Math" w:hAnsi="Cambria Math" w:cs="Times New Roman"/>
                                <w:sz w:val="22"/>
                              </w:rPr>
                              <m:t>B</m:t>
                            </m:r>
                          </m:e>
                          <m:sub>
                            <m:r>
                              <w:rPr>
                                <w:rFonts w:ascii="Cambria Math" w:hAnsi="Cambria Math" w:cs="Times New Roman"/>
                                <w:sz w:val="22"/>
                              </w:rPr>
                              <m:t>i</m:t>
                            </m:r>
                          </m:sub>
                        </m:sSub>
                        <m:r>
                          <m:rPr>
                            <m:sty m:val="p"/>
                          </m:rPr>
                          <w:rPr>
                            <w:rFonts w:ascii="Cambria Math" w:hAnsi="Cambria Math" w:cs="Times New Roman"/>
                            <w:sz w:val="22"/>
                          </w:rPr>
                          <m:t>(</m:t>
                        </m:r>
                        <m:r>
                          <w:rPr>
                            <w:rFonts w:ascii="Cambria Math" w:hAnsi="Cambria Math" w:cs="Times New Roman"/>
                            <w:sz w:val="22"/>
                          </w:rPr>
                          <m:t>t</m:t>
                        </m:r>
                        <m:r>
                          <m:rPr>
                            <m:sty m:val="p"/>
                          </m:rPr>
                          <w:rPr>
                            <w:rFonts w:ascii="Cambria Math" w:hAnsi="Cambria Math" w:cs="Times New Roman"/>
                            <w:sz w:val="22"/>
                          </w:rPr>
                          <m:t>)&gt;</m:t>
                        </m:r>
                        <m:r>
                          <w:rPr>
                            <w:rFonts w:ascii="Cambria Math" w:hAnsi="Cambria Math" w:cs="Times New Roman"/>
                            <w:sz w:val="22"/>
                          </w:rPr>
                          <m:t>0</m:t>
                        </m:r>
                        <m:r>
                          <m:rPr>
                            <m:sty m:val="p"/>
                          </m:rPr>
                          <w:rPr>
                            <w:rFonts w:ascii="Cambria Math" w:hAnsi="Cambria Math" w:cs="Times New Roman"/>
                            <w:sz w:val="22"/>
                          </w:rPr>
                          <m:t>,</m:t>
                        </m:r>
                        <m:r>
                          <w:rPr>
                            <w:rFonts w:ascii="Cambria Math" w:hAnsi="Cambria Math" w:cs="Times New Roman"/>
                            <w:sz w:val="22"/>
                          </w:rPr>
                          <m:t> </m:t>
                        </m:r>
                        <m:sSub>
                          <m:sSubPr>
                            <m:ctrlPr>
                              <w:rPr>
                                <w:rFonts w:ascii="Cambria Math" w:hAnsi="Cambria Math" w:cs="Times New Roman"/>
                              </w:rPr>
                            </m:ctrlPr>
                          </m:sSubPr>
                          <m:e>
                            <m:r>
                              <w:rPr>
                                <w:rFonts w:ascii="Cambria Math" w:hAnsi="Cambria Math" w:cs="Times New Roman"/>
                                <w:sz w:val="22"/>
                              </w:rPr>
                              <m:t>R</m:t>
                            </m:r>
                          </m:e>
                          <m:sub>
                            <m:r>
                              <m:rPr>
                                <m:sty m:val="p"/>
                              </m:rPr>
                              <w:rPr>
                                <w:rFonts w:ascii="Cambria Math" w:hAnsi="Cambria Math" w:cs="Times New Roman"/>
                                <w:sz w:val="22"/>
                              </w:rPr>
                              <m:t>dep</m:t>
                            </m:r>
                          </m:sub>
                        </m:sSub>
                        <m:r>
                          <m:rPr>
                            <m:sty m:val="p"/>
                          </m:rPr>
                          <w:rPr>
                            <w:rFonts w:ascii="Cambria Math" w:hAnsi="Cambria Math" w:cs="Times New Roman"/>
                            <w:sz w:val="22"/>
                          </w:rPr>
                          <m:t>≤</m:t>
                        </m:r>
                        <m:sSub>
                          <m:sSubPr>
                            <m:ctrlPr>
                              <w:rPr>
                                <w:rFonts w:ascii="Cambria Math" w:hAnsi="Cambria Math" w:cs="Times New Roman"/>
                              </w:rPr>
                            </m:ctrlPr>
                          </m:sSubPr>
                          <m:e>
                            <m:r>
                              <w:rPr>
                                <w:rFonts w:ascii="Cambria Math" w:hAnsi="Cambria Math" w:cs="Times New Roman"/>
                                <w:sz w:val="22"/>
                              </w:rPr>
                              <m:t>R</m:t>
                            </m:r>
                          </m:e>
                          <m:sub>
                            <m:r>
                              <w:rPr>
                                <w:rFonts w:ascii="Cambria Math" w:hAnsi="Cambria Math" w:cs="Times New Roman"/>
                                <w:sz w:val="22"/>
                              </w:rPr>
                              <m:t>t</m:t>
                            </m:r>
                          </m:sub>
                        </m:sSub>
                        <m:r>
                          <m:rPr>
                            <m:sty m:val="p"/>
                          </m:rPr>
                          <w:rPr>
                            <w:rFonts w:ascii="Cambria Math" w:hAnsi="Cambria Math" w:cs="Times New Roman"/>
                            <w:sz w:val="22"/>
                          </w:rPr>
                          <m:t>&lt;</m:t>
                        </m:r>
                        <m:sSub>
                          <m:sSubPr>
                            <m:ctrlPr>
                              <w:rPr>
                                <w:rFonts w:ascii="Cambria Math" w:hAnsi="Cambria Math" w:cs="Times New Roman"/>
                              </w:rPr>
                            </m:ctrlPr>
                          </m:sSubPr>
                          <m:e>
                            <m:r>
                              <w:rPr>
                                <w:rFonts w:ascii="Cambria Math" w:hAnsi="Cambria Math" w:cs="Times New Roman"/>
                                <w:sz w:val="22"/>
                              </w:rPr>
                              <m:t>R</m:t>
                            </m:r>
                          </m:e>
                          <m:sub>
                            <m:r>
                              <m:rPr>
                                <m:sty m:val="p"/>
                              </m:rPr>
                              <w:rPr>
                                <w:rFonts w:ascii="Cambria Math" w:hAnsi="Cambria Math" w:cs="Times New Roman"/>
                                <w:sz w:val="22"/>
                              </w:rPr>
                              <m:t>wash</m:t>
                            </m:r>
                          </m:sub>
                        </m:sSub>
                      </m:e>
                    </m:mr>
                    <m:mr>
                      <m:e>
                        <m:r>
                          <w:rPr>
                            <w:rFonts w:ascii="Cambria Math" w:hAnsi="Cambria Math" w:cs="Times New Roman"/>
                            <w:sz w:val="22"/>
                          </w:rPr>
                          <m:t>0</m:t>
                        </m:r>
                      </m:e>
                      <m:e>
                        <m:r>
                          <m:rPr>
                            <m:nor/>
                          </m:rPr>
                          <w:rPr>
                            <w:rFonts w:cs="Times New Roman"/>
                            <w:sz w:val="22"/>
                          </w:rPr>
                          <m:t>otherwise</m:t>
                        </m:r>
                      </m:e>
                    </m:mr>
                  </m:m>
                </m:e>
              </m:d>
            </m:e>
          </m:mr>
        </m:m>
      </m:oMath>
      <w:r w:rsidRPr="001A38C8">
        <w:rPr>
          <w:rFonts w:cs="Times New Roman"/>
        </w:rPr>
        <w:tab/>
        <w:t>(1)</w:t>
      </w:r>
    </w:p>
    <w:p w14:paraId="5CB2D937" w14:textId="77777777" w:rsidR="00B350F7" w:rsidRPr="001A38C8" w:rsidRDefault="00000000">
      <w:pPr>
        <w:pStyle w:val="FirstParagraph"/>
        <w:rPr>
          <w:rFonts w:cs="Times New Roman"/>
        </w:rPr>
      </w:pPr>
      <w:r w:rsidRPr="001A38C8">
        <w:rPr>
          <w:rFonts w:cs="Times New Roman"/>
        </w:rPr>
        <w:t xml:space="preserve">where </w:t>
      </w: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B</m:t>
            </m:r>
          </m:sub>
        </m:sSub>
      </m:oMath>
      <w:r w:rsidRPr="001A38C8">
        <w:rPr>
          <w:rFonts w:cs="Times New Roman"/>
        </w:rPr>
        <w:t xml:space="preserve"> is hourly detached-state mortality, </w:t>
      </w:r>
      <m:oMath>
        <m:r>
          <m:rPr>
            <m:scr m:val="script"/>
            <m:sty m:val="p"/>
          </m:rPr>
          <w:rPr>
            <w:rFonts w:ascii="Cambria Math" w:hAnsi="Cambria Math" w:cs="Times New Roman"/>
          </w:rPr>
          <m:t>B(</m:t>
        </m:r>
        <m:r>
          <w:rPr>
            <w:rFonts w:ascii="Cambria Math" w:hAnsi="Cambria Math" w:cs="Times New Roman"/>
          </w:rPr>
          <m:t>t</m:t>
        </m:r>
        <m:r>
          <m:rPr>
            <m:sty m:val="p"/>
          </m:rPr>
          <w:rPr>
            <w:rFonts w:ascii="Cambria Math" w:hAnsi="Cambria Math" w:cs="Times New Roman"/>
          </w:rPr>
          <m:t>)</m:t>
        </m:r>
      </m:oMath>
      <w:r w:rsidRPr="001A38C8">
        <w:rPr>
          <w:rFonts w:cs="Times New Roman"/>
        </w:rPr>
        <w:t xml:space="preserve"> contains airborne cohorts, and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t</m:t>
            </m:r>
          </m:sub>
        </m:sSub>
      </m:oMath>
      <w:r w:rsidRPr="001A38C8">
        <w:rPr>
          <w:rFonts w:cs="Times New Roman"/>
        </w:rPr>
        <w:t xml:space="preserve">, </w:t>
      </w:r>
      <m:oMath>
        <m:sSub>
          <m:sSubPr>
            <m:ctrlPr>
              <w:rPr>
                <w:rFonts w:ascii="Cambria Math" w:hAnsi="Cambria Math" w:cs="Times New Roman"/>
              </w:rPr>
            </m:ctrlPr>
          </m:sSubPr>
          <m:e>
            <m:r>
              <w:rPr>
                <w:rFonts w:ascii="Cambria Math" w:hAnsi="Cambria Math" w:cs="Times New Roman"/>
              </w:rPr>
              <m:t>R</m:t>
            </m:r>
          </m:e>
          <m:sub>
            <m:r>
              <m:rPr>
                <m:sty m:val="p"/>
              </m:rPr>
              <w:rPr>
                <w:rFonts w:ascii="Cambria Math" w:hAnsi="Cambria Math" w:cs="Times New Roman"/>
              </w:rPr>
              <m:t>dep</m:t>
            </m:r>
          </m:sub>
        </m:sSub>
      </m:oMath>
      <w:r w:rsidRPr="001A38C8">
        <w:rPr>
          <w:rFonts w:cs="Times New Roman"/>
        </w:rPr>
        <w:t xml:space="preserve"> and </w:t>
      </w:r>
      <m:oMath>
        <m:sSub>
          <m:sSubPr>
            <m:ctrlPr>
              <w:rPr>
                <w:rFonts w:ascii="Cambria Math" w:hAnsi="Cambria Math" w:cs="Times New Roman"/>
              </w:rPr>
            </m:ctrlPr>
          </m:sSubPr>
          <m:e>
            <m:r>
              <w:rPr>
                <w:rFonts w:ascii="Cambria Math" w:hAnsi="Cambria Math" w:cs="Times New Roman"/>
              </w:rPr>
              <m:t>R</m:t>
            </m:r>
          </m:e>
          <m:sub>
            <m:r>
              <m:rPr>
                <m:sty m:val="p"/>
              </m:rPr>
              <w:rPr>
                <w:rFonts w:ascii="Cambria Math" w:hAnsi="Cambria Math" w:cs="Times New Roman"/>
              </w:rPr>
              <m:t>wash</m:t>
            </m:r>
          </m:sub>
        </m:sSub>
      </m:oMath>
      <w:r w:rsidRPr="001A38C8">
        <w:rPr>
          <w:rFonts w:cs="Times New Roman"/>
        </w:rPr>
        <w:t xml:space="preserve"> denote hourly rainfall, effective deposition and heavy-rain wash-off thresholds. Rain below </w:t>
      </w:r>
      <m:oMath>
        <m:sSub>
          <m:sSubPr>
            <m:ctrlPr>
              <w:rPr>
                <w:rFonts w:ascii="Cambria Math" w:hAnsi="Cambria Math" w:cs="Times New Roman"/>
              </w:rPr>
            </m:ctrlPr>
          </m:sSubPr>
          <m:e>
            <m:r>
              <w:rPr>
                <w:rFonts w:ascii="Cambria Math" w:hAnsi="Cambria Math" w:cs="Times New Roman"/>
              </w:rPr>
              <m:t>R</m:t>
            </m:r>
          </m:e>
          <m:sub>
            <m:r>
              <m:rPr>
                <m:sty m:val="p"/>
              </m:rPr>
              <w:rPr>
                <w:rFonts w:ascii="Cambria Math" w:hAnsi="Cambria Math" w:cs="Times New Roman"/>
              </w:rPr>
              <m:t>dep</m:t>
            </m:r>
          </m:sub>
        </m:sSub>
      </m:oMath>
      <w:r w:rsidRPr="001A38C8">
        <w:rPr>
          <w:rFonts w:cs="Times New Roman"/>
        </w:rPr>
        <w:t xml:space="preserve"> leaves viable cohorts airborne; rain at or above </w:t>
      </w:r>
      <m:oMath>
        <m:sSub>
          <m:sSubPr>
            <m:ctrlPr>
              <w:rPr>
                <w:rFonts w:ascii="Cambria Math" w:hAnsi="Cambria Math" w:cs="Times New Roman"/>
              </w:rPr>
            </m:ctrlPr>
          </m:sSubPr>
          <m:e>
            <m:r>
              <w:rPr>
                <w:rFonts w:ascii="Cambria Math" w:hAnsi="Cambria Math" w:cs="Times New Roman"/>
              </w:rPr>
              <m:t>R</m:t>
            </m:r>
          </m:e>
          <m:sub>
            <m:r>
              <m:rPr>
                <m:sty m:val="p"/>
              </m:rPr>
              <w:rPr>
                <w:rFonts w:ascii="Cambria Math" w:hAnsi="Cambria Math" w:cs="Times New Roman"/>
              </w:rPr>
              <m:t>wash</m:t>
            </m:r>
          </m:sub>
        </m:sSub>
      </m:oMath>
      <w:r w:rsidRPr="001A38C8">
        <w:rPr>
          <w:rFonts w:cs="Times New Roman"/>
        </w:rPr>
        <w:t xml:space="preserve"> removes them. These rainfall thresholds are operational assumptions of this study, not independently validated deposition or wash-off limits. Deposited cohorts proceed through infection and incubation, and the earliest complete symptom window is reported. Pre-symptomatic sporangial captures </w:t>
      </w:r>
      <w:r w:rsidRPr="001A38C8">
        <w:rPr>
          <w:rFonts w:cs="Times New Roman"/>
        </w:rPr>
        <w:lastRenderedPageBreak/>
        <w:t>support this exposure route (Supplementary Figure S1d). Attached-state survival and hourly update rules are detailed in Supplementary Methods S1.</w:t>
      </w:r>
    </w:p>
    <w:p w14:paraId="54440638" w14:textId="77777777" w:rsidR="00B350F7" w:rsidRPr="001A38C8" w:rsidRDefault="00000000">
      <w:pPr>
        <w:pStyle w:val="Heading3"/>
        <w:rPr>
          <w:rFonts w:cs="Times New Roman"/>
        </w:rPr>
      </w:pPr>
      <w:bookmarkStart w:id="17" w:name="X3cbfd1b16bdccdfc287ce457fc9bc0c2556f34c"/>
      <w:bookmarkEnd w:id="16"/>
      <w:r w:rsidRPr="001A38C8">
        <w:rPr>
          <w:rFonts w:cs="Times New Roman"/>
        </w:rPr>
        <w:t xml:space="preserve">2.3.2 Spore-constrained refinement of the </w:t>
      </w:r>
      <w:r w:rsidRPr="001A38C8">
        <w:rPr>
          <w:rFonts w:cs="Times New Roman"/>
          <w:i/>
          <w:iCs/>
        </w:rPr>
        <w:t>First Seasonal Infection Model</w:t>
      </w:r>
      <w:r w:rsidRPr="001A38C8">
        <w:rPr>
          <w:rFonts w:cs="Times New Roman"/>
        </w:rPr>
        <w:t xml:space="preserve"> (FSIM-S)</w:t>
      </w:r>
    </w:p>
    <w:p w14:paraId="50AF7A1E" w14:textId="77777777" w:rsidR="00B350F7" w:rsidRPr="001A38C8" w:rsidRDefault="00000000">
      <w:pPr>
        <w:pStyle w:val="FirstParagraph"/>
        <w:rPr>
          <w:rFonts w:cs="Times New Roman"/>
        </w:rPr>
      </w:pPr>
      <w:r w:rsidRPr="001A38C8">
        <w:rPr>
          <w:rFonts w:cs="Times New Roman"/>
        </w:rPr>
        <w:t xml:space="preserve">FSIM-S constrains inoculum supply using observed sporangium counts, converted to standardized and smoothed daily relative pressure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oMath>
      <w:r w:rsidRPr="001A38C8">
        <w:rPr>
          <w:rFonts w:cs="Times New Roman"/>
        </w:rPr>
        <w:t>. Numeric zero-count intervals suppress weather-generated cohorts, while positive pressure adds inoculum before dispersal:</w:t>
      </w:r>
    </w:p>
    <w:p w14:paraId="76ECC0B0" w14:textId="77777777" w:rsidR="00B350F7" w:rsidRPr="001A38C8" w:rsidRDefault="00000000">
      <w:pPr>
        <w:pStyle w:val="BodyText"/>
        <w:keepLines/>
        <w:tabs>
          <w:tab w:val="center" w:pos="4464"/>
          <w:tab w:val="right" w:pos="8928"/>
        </w:tabs>
        <w:spacing w:before="160" w:after="160" w:line="288" w:lineRule="auto"/>
        <w:rPr>
          <w:rFonts w:cs="Times New Roman"/>
        </w:rPr>
      </w:pPr>
      <w:r w:rsidRPr="001A38C8">
        <w:rPr>
          <w:rFonts w:cs="Times New Roman"/>
        </w:rPr>
        <w:tab/>
      </w:r>
      <m:oMath>
        <m:sSubSup>
          <m:sSubSupPr>
            <m:ctrlPr>
              <w:rPr>
                <w:rFonts w:ascii="Cambria Math" w:hAnsi="Cambria Math" w:cs="Times New Roman"/>
              </w:rPr>
            </m:ctrlPr>
          </m:sSubSupPr>
          <m:e>
            <m:r>
              <w:rPr>
                <w:rFonts w:ascii="Cambria Math" w:hAnsi="Cambria Math" w:cs="Times New Roman"/>
                <w:sz w:val="22"/>
              </w:rPr>
              <m:t>G</m:t>
            </m:r>
          </m:e>
          <m:sub>
            <m:r>
              <w:rPr>
                <w:rFonts w:ascii="Cambria Math" w:hAnsi="Cambria Math" w:cs="Times New Roman"/>
                <w:sz w:val="22"/>
              </w:rPr>
              <m:t>i</m:t>
            </m:r>
          </m:sub>
          <m:sup>
            <m:r>
              <m:rPr>
                <m:sty m:val="p"/>
              </m:rPr>
              <w:rPr>
                <w:rFonts w:ascii="Cambria Math" w:hAnsi="Cambria Math" w:cs="Times New Roman"/>
                <w:sz w:val="22"/>
              </w:rPr>
              <m:t>S</m:t>
            </m:r>
          </m:sup>
        </m:sSubSup>
        <m:r>
          <m:rPr>
            <m:sty m:val="p"/>
          </m:rPr>
          <w:rPr>
            <w:rFonts w:ascii="Cambria Math" w:hAnsi="Cambria Math" w:cs="Times New Roman"/>
            <w:sz w:val="22"/>
          </w:rPr>
          <m:t>=</m:t>
        </m:r>
        <m:r>
          <w:rPr>
            <w:rFonts w:ascii="Cambria Math" w:hAnsi="Cambria Math" w:cs="Times New Roman"/>
            <w:sz w:val="22"/>
          </w:rPr>
          <m:t>g</m:t>
        </m:r>
        <m:r>
          <m:rPr>
            <m:sty m:val="p"/>
          </m:rPr>
          <w:rPr>
            <w:rFonts w:ascii="Cambria Math" w:hAnsi="Cambria Math" w:cs="Times New Roman"/>
            <w:sz w:val="22"/>
          </w:rPr>
          <m:t>(</m:t>
        </m:r>
        <m:sSub>
          <m:sSubPr>
            <m:ctrlPr>
              <w:rPr>
                <w:rFonts w:ascii="Cambria Math" w:hAnsi="Cambria Math" w:cs="Times New Roman"/>
              </w:rPr>
            </m:ctrlPr>
          </m:sSubPr>
          <m:e>
            <m:r>
              <w:rPr>
                <w:rFonts w:ascii="Cambria Math" w:hAnsi="Cambria Math" w:cs="Times New Roman"/>
                <w:sz w:val="22"/>
              </w:rPr>
              <m:t>d</m:t>
            </m:r>
          </m:e>
          <m:sub>
            <m:r>
              <w:rPr>
                <w:rFonts w:ascii="Cambria Math" w:hAnsi="Cambria Math" w:cs="Times New Roman"/>
                <w:sz w:val="22"/>
              </w:rPr>
              <m:t>i</m:t>
            </m:r>
          </m:sub>
        </m:sSub>
        <m:r>
          <m:rPr>
            <m:sty m:val="p"/>
          </m:rPr>
          <w:rPr>
            <w:rFonts w:ascii="Cambria Math" w:hAnsi="Cambria Math" w:cs="Times New Roman"/>
            <w:sz w:val="22"/>
          </w:rPr>
          <m:t>;</m:t>
        </m:r>
        <m:sSub>
          <m:sSubPr>
            <m:ctrlPr>
              <w:rPr>
                <w:rFonts w:ascii="Cambria Math" w:hAnsi="Cambria Math" w:cs="Times New Roman"/>
              </w:rPr>
            </m:ctrlPr>
          </m:sSubPr>
          <m:e>
            <m:r>
              <w:rPr>
                <w:rFonts w:ascii="Cambria Math" w:hAnsi="Cambria Math" w:cs="Times New Roman"/>
                <w:sz w:val="22"/>
              </w:rPr>
              <m:t>β</m:t>
            </m:r>
          </m:e>
          <m:sub>
            <m:r>
              <m:rPr>
                <m:sty m:val="p"/>
              </m:rPr>
              <w:rPr>
                <w:rFonts w:ascii="Cambria Math" w:hAnsi="Cambria Math" w:cs="Times New Roman"/>
                <w:sz w:val="22"/>
              </w:rPr>
              <m:t>sp</m:t>
            </m:r>
          </m:sub>
        </m:sSub>
        <m:r>
          <m:rPr>
            <m:sty m:val="p"/>
          </m:rPr>
          <w:rPr>
            <w:rFonts w:ascii="Cambria Math" w:hAnsi="Cambria Math" w:cs="Times New Roman"/>
            <w:sz w:val="22"/>
          </w:rPr>
          <m:t>)</m:t>
        </m:r>
        <m:sSubSup>
          <m:sSubSupPr>
            <m:ctrlPr>
              <w:rPr>
                <w:rFonts w:ascii="Cambria Math" w:hAnsi="Cambria Math" w:cs="Times New Roman"/>
              </w:rPr>
            </m:ctrlPr>
          </m:sSubSupPr>
          <m:e>
            <m:r>
              <w:rPr>
                <w:rFonts w:ascii="Cambria Math" w:hAnsi="Cambria Math" w:cs="Times New Roman"/>
                <w:sz w:val="22"/>
              </w:rPr>
              <m:t>G</m:t>
            </m:r>
          </m:e>
          <m:sub>
            <m:r>
              <w:rPr>
                <w:rFonts w:ascii="Cambria Math" w:hAnsi="Cambria Math" w:cs="Times New Roman"/>
                <w:sz w:val="22"/>
              </w:rPr>
              <m:t>i</m:t>
            </m:r>
          </m:sub>
          <m:sup>
            <m:r>
              <m:rPr>
                <m:sty m:val="p"/>
              </m:rPr>
              <w:rPr>
                <w:rFonts w:ascii="Cambria Math" w:hAnsi="Cambria Math" w:cs="Times New Roman"/>
                <w:sz w:val="22"/>
              </w:rPr>
              <m:t>F</m:t>
            </m:r>
          </m:sup>
        </m:sSubSup>
        <m:r>
          <m:rPr>
            <m:sty m:val="p"/>
          </m:rPr>
          <w:rPr>
            <w:rFonts w:ascii="Cambria Math" w:hAnsi="Cambria Math" w:cs="Times New Roman"/>
            <w:sz w:val="22"/>
          </w:rPr>
          <m:t>+</m:t>
        </m:r>
        <m:sSub>
          <m:sSubPr>
            <m:ctrlPr>
              <w:rPr>
                <w:rFonts w:ascii="Cambria Math" w:hAnsi="Cambria Math" w:cs="Times New Roman"/>
              </w:rPr>
            </m:ctrlPr>
          </m:sSubPr>
          <m:e>
            <m:r>
              <w:rPr>
                <w:rFonts w:ascii="Cambria Math" w:hAnsi="Cambria Math" w:cs="Times New Roman"/>
                <w:sz w:val="22"/>
              </w:rPr>
              <m:t>β</m:t>
            </m:r>
          </m:e>
          <m:sub>
            <m:r>
              <m:rPr>
                <m:sty m:val="p"/>
              </m:rPr>
              <w:rPr>
                <w:rFonts w:ascii="Cambria Math" w:hAnsi="Cambria Math" w:cs="Times New Roman"/>
                <w:sz w:val="22"/>
              </w:rPr>
              <m:t>sp</m:t>
            </m:r>
          </m:sub>
        </m:sSub>
        <m:r>
          <m:rPr>
            <m:sty m:val="p"/>
          </m:rPr>
          <w:rPr>
            <w:rFonts w:ascii="Cambria Math" w:hAnsi="Cambria Math" w:cs="Times New Roman"/>
            <w:sz w:val="22"/>
          </w:rPr>
          <m:t>max[</m:t>
        </m:r>
        <m:r>
          <w:rPr>
            <w:rFonts w:ascii="Cambria Math" w:hAnsi="Cambria Math" w:cs="Times New Roman"/>
            <w:sz w:val="22"/>
          </w:rPr>
          <m:t>P</m:t>
        </m:r>
        <m:r>
          <m:rPr>
            <m:sty m:val="p"/>
          </m:rPr>
          <w:rPr>
            <w:rFonts w:ascii="Cambria Math" w:hAnsi="Cambria Math" w:cs="Times New Roman"/>
            <w:sz w:val="22"/>
          </w:rPr>
          <m:t>(</m:t>
        </m:r>
        <m:sSub>
          <m:sSubPr>
            <m:ctrlPr>
              <w:rPr>
                <w:rFonts w:ascii="Cambria Math" w:hAnsi="Cambria Math" w:cs="Times New Roman"/>
              </w:rPr>
            </m:ctrlPr>
          </m:sSubPr>
          <m:e>
            <m:r>
              <w:rPr>
                <w:rFonts w:ascii="Cambria Math" w:hAnsi="Cambria Math" w:cs="Times New Roman"/>
                <w:sz w:val="22"/>
              </w:rPr>
              <m:t>d</m:t>
            </m:r>
          </m:e>
          <m:sub>
            <m:r>
              <w:rPr>
                <w:rFonts w:ascii="Cambria Math" w:hAnsi="Cambria Math" w:cs="Times New Roman"/>
                <w:sz w:val="22"/>
              </w:rPr>
              <m:t>i</m:t>
            </m:r>
          </m:sub>
        </m:sSub>
        <m:r>
          <m:rPr>
            <m:sty m:val="p"/>
          </m:rPr>
          <w:rPr>
            <w:rFonts w:ascii="Cambria Math" w:hAnsi="Cambria Math" w:cs="Times New Roman"/>
            <w:sz w:val="22"/>
          </w:rPr>
          <m:t>),</m:t>
        </m:r>
        <m:r>
          <w:rPr>
            <w:rFonts w:ascii="Cambria Math" w:hAnsi="Cambria Math" w:cs="Times New Roman"/>
            <w:sz w:val="22"/>
          </w:rPr>
          <m:t>0</m:t>
        </m:r>
        <m:r>
          <m:rPr>
            <m:sty m:val="p"/>
          </m:rPr>
          <w:rPr>
            <w:rFonts w:ascii="Cambria Math" w:hAnsi="Cambria Math" w:cs="Times New Roman"/>
            <w:sz w:val="22"/>
          </w:rPr>
          <m:t>]</m:t>
        </m:r>
      </m:oMath>
      <w:r w:rsidRPr="001A38C8">
        <w:rPr>
          <w:rFonts w:cs="Times New Roman"/>
        </w:rPr>
        <w:tab/>
        <w:t>(2)</w:t>
      </w:r>
    </w:p>
    <w:p w14:paraId="73A92070" w14:textId="77777777" w:rsidR="00B350F7" w:rsidRPr="001A38C8" w:rsidRDefault="00000000">
      <w:pPr>
        <w:pStyle w:val="FirstParagraph"/>
        <w:rPr>
          <w:rFonts w:cs="Times New Roman"/>
        </w:rPr>
      </w:pPr>
      <w:r w:rsidRPr="001A38C8">
        <w:rPr>
          <w:rFonts w:cs="Times New Roman"/>
        </w:rPr>
        <w:t xml:space="preserve">where </w:t>
      </w:r>
      <m:oMath>
        <m:sSubSup>
          <m:sSubSupPr>
            <m:ctrlPr>
              <w:rPr>
                <w:rFonts w:ascii="Cambria Math" w:hAnsi="Cambria Math" w:cs="Times New Roman"/>
              </w:rPr>
            </m:ctrlPr>
          </m:sSubSupPr>
          <m:e>
            <m:r>
              <w:rPr>
                <w:rFonts w:ascii="Cambria Math" w:hAnsi="Cambria Math" w:cs="Times New Roman"/>
              </w:rPr>
              <m:t>G</m:t>
            </m:r>
          </m:e>
          <m:sub>
            <m:r>
              <w:rPr>
                <w:rFonts w:ascii="Cambria Math" w:hAnsi="Cambria Math" w:cs="Times New Roman"/>
              </w:rPr>
              <m:t>i</m:t>
            </m:r>
          </m:sub>
          <m:sup>
            <m:r>
              <m:rPr>
                <m:sty m:val="p"/>
              </m:rPr>
              <w:rPr>
                <w:rFonts w:ascii="Cambria Math" w:hAnsi="Cambria Math" w:cs="Times New Roman"/>
              </w:rPr>
              <m:t>F</m:t>
            </m:r>
          </m:sup>
        </m:sSubSup>
      </m:oMath>
      <w:r w:rsidRPr="001A38C8">
        <w:rPr>
          <w:rFonts w:cs="Times New Roman"/>
        </w:rPr>
        <w:t xml:space="preserve"> and </w:t>
      </w:r>
      <m:oMath>
        <m:sSubSup>
          <m:sSubSupPr>
            <m:ctrlPr>
              <w:rPr>
                <w:rFonts w:ascii="Cambria Math" w:hAnsi="Cambria Math" w:cs="Times New Roman"/>
              </w:rPr>
            </m:ctrlPr>
          </m:sSubSupPr>
          <m:e>
            <m:r>
              <w:rPr>
                <w:rFonts w:ascii="Cambria Math" w:hAnsi="Cambria Math" w:cs="Times New Roman"/>
              </w:rPr>
              <m:t>G</m:t>
            </m:r>
          </m:e>
          <m:sub>
            <m:r>
              <w:rPr>
                <w:rFonts w:ascii="Cambria Math" w:hAnsi="Cambria Math" w:cs="Times New Roman"/>
              </w:rPr>
              <m:t>i</m:t>
            </m:r>
          </m:sub>
          <m:sup>
            <m:r>
              <m:rPr>
                <m:sty m:val="p"/>
              </m:rPr>
              <w:rPr>
                <w:rFonts w:ascii="Cambria Math" w:hAnsi="Cambria Math" w:cs="Times New Roman"/>
              </w:rPr>
              <m:t>S</m:t>
            </m:r>
          </m:sup>
        </m:sSubSup>
      </m:oMath>
      <w:r w:rsidRPr="001A38C8">
        <w:rPr>
          <w:rFonts w:cs="Times New Roman"/>
        </w:rPr>
        <w:t xml:space="preserve"> are initial relative cohort doses,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oMath>
      <w:r w:rsidRPr="001A38C8">
        <w:rPr>
          <w:rFonts w:cs="Times New Roman"/>
        </w:rPr>
        <w:t xml:space="preserve"> is the generation date, and </w:t>
      </w:r>
      <m:oMath>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sp</m:t>
            </m:r>
          </m:sub>
        </m:sSub>
        <m:r>
          <m:rPr>
            <m:sty m:val="p"/>
          </m:rPr>
          <w:rPr>
            <w:rFonts w:ascii="Cambria Math" w:hAnsi="Cambria Math" w:cs="Times New Roman"/>
          </w:rPr>
          <m:t>≥</m:t>
        </m:r>
        <m:r>
          <w:rPr>
            <w:rFonts w:ascii="Cambria Math" w:hAnsi="Cambria Math" w:cs="Times New Roman"/>
          </w:rPr>
          <m:t>0</m:t>
        </m:r>
      </m:oMath>
      <w:r w:rsidRPr="001A38C8">
        <w:rPr>
          <w:rFonts w:cs="Times New Roman"/>
        </w:rPr>
        <w:t xml:space="preserve"> scales the pressure contribution. The gate </w:t>
      </w:r>
      <m:oMath>
        <m:r>
          <w:rPr>
            <w:rFonts w:ascii="Cambria Math" w:hAnsi="Cambria Math" w:cs="Times New Roman"/>
          </w:rPr>
          <m:t>g</m:t>
        </m:r>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sp</m:t>
            </m:r>
          </m:sub>
        </m:sSub>
        <m:r>
          <m:rPr>
            <m:sty m:val="p"/>
          </m:rPr>
          <w:rPr>
            <w:rFonts w:ascii="Cambria Math" w:hAnsi="Cambria Math" w:cs="Times New Roman"/>
          </w:rPr>
          <m:t>)</m:t>
        </m:r>
      </m:oMath>
      <w:r w:rsidRPr="001A38C8">
        <w:rPr>
          <w:rFonts w:cs="Times New Roman"/>
        </w:rPr>
        <w:t xml:space="preserve"> equals zero during numeric zero-count intervals when </w:t>
      </w:r>
      <m:oMath>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sp</m:t>
            </m:r>
          </m:sub>
        </m:sSub>
        <m:r>
          <m:rPr>
            <m:sty m:val="p"/>
          </m:rPr>
          <w:rPr>
            <w:rFonts w:ascii="Cambria Math" w:hAnsi="Cambria Math" w:cs="Times New Roman"/>
          </w:rPr>
          <m:t>&gt;</m:t>
        </m:r>
        <m:r>
          <w:rPr>
            <w:rFonts w:ascii="Cambria Math" w:hAnsi="Cambria Math" w:cs="Times New Roman"/>
          </w:rPr>
          <m:t>0</m:t>
        </m:r>
      </m:oMath>
      <w:r w:rsidRPr="001A38C8">
        <w:rPr>
          <w:rFonts w:cs="Times New Roman"/>
        </w:rPr>
        <w:t xml:space="preserve">, and one otherwise. At </w:t>
      </w:r>
      <m:oMath>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sp</m:t>
            </m:r>
          </m:sub>
        </m:sSub>
        <m:r>
          <m:rPr>
            <m:sty m:val="p"/>
          </m:rPr>
          <w:rPr>
            <w:rFonts w:ascii="Cambria Math" w:hAnsi="Cambria Math" w:cs="Times New Roman"/>
          </w:rPr>
          <m:t>=</m:t>
        </m:r>
        <m:r>
          <w:rPr>
            <w:rFonts w:ascii="Cambria Math" w:hAnsi="Cambria Math" w:cs="Times New Roman"/>
          </w:rPr>
          <m:t>0</m:t>
        </m:r>
      </m:oMath>
      <w:r w:rsidRPr="001A38C8">
        <w:rPr>
          <w:rFonts w:cs="Times New Roman"/>
        </w:rPr>
        <w:t>, both observation-based constraints are disabled and FSIM-S reduces exactly to FSIM. Missing entries are not treated as measured zeros and do not independently trigger either constraint. Subsequent processes follow FSIM (</w:t>
      </w:r>
      <w:hyperlink w:anchor="Xa756833166a65068fadffdfae40c02e9ca41991">
        <w:r w:rsidR="00B350F7" w:rsidRPr="001A38C8">
          <w:rPr>
            <w:rStyle w:val="Hyperlink"/>
            <w:rFonts w:cs="Times New Roman"/>
          </w:rPr>
          <w:t>Figure 6</w:t>
        </w:r>
      </w:hyperlink>
      <w:r w:rsidRPr="001A38C8">
        <w:rPr>
          <w:rFonts w:cs="Times New Roman"/>
        </w:rPr>
        <w:t>); interval reconstruction, normalization and smoothing are detailed in Supplementary Methods S2.</w:t>
      </w:r>
    </w:p>
    <w:p w14:paraId="3A4E564F" w14:textId="77777777" w:rsidR="00B350F7" w:rsidRPr="001A38C8" w:rsidRDefault="00000000">
      <w:pPr>
        <w:pStyle w:val="FigureImage"/>
        <w:jc w:val="center"/>
        <w:rPr>
          <w:rFonts w:cs="Times New Roman"/>
        </w:rPr>
      </w:pPr>
      <w:bookmarkStart w:id="18" w:name="Xa756833166a65068fadffdfae40c02e9ca41991"/>
      <w:r w:rsidRPr="001A38C8">
        <w:rPr>
          <w:rFonts w:cs="Times New Roman"/>
          <w:noProof/>
        </w:rPr>
        <w:lastRenderedPageBreak/>
        <w:drawing>
          <wp:inline distT="0" distB="0" distL="0" distR="0" wp14:anchorId="03A690E9" wp14:editId="2811DC67">
            <wp:extent cx="4623610" cy="6256771"/>
            <wp:effectExtent l="0" t="0" r="0" b="0"/>
            <wp:docPr id="43" name="Picture" descr="Figure 6"/>
            <wp:cNvGraphicFramePr/>
            <a:graphic xmlns:a="http://schemas.openxmlformats.org/drawingml/2006/main">
              <a:graphicData uri="http://schemas.openxmlformats.org/drawingml/2006/picture">
                <pic:pic xmlns:pic="http://schemas.openxmlformats.org/drawingml/2006/picture">
                  <pic:nvPicPr>
                    <pic:cNvPr id="44" name="Picture" descr="fig/figure_06.png"/>
                    <pic:cNvPicPr>
                      <a:picLocks noChangeAspect="1" noChangeArrowheads="1"/>
                    </pic:cNvPicPr>
                  </pic:nvPicPr>
                  <pic:blipFill>
                    <a:blip r:embed="rId15"/>
                    <a:stretch>
                      <a:fillRect/>
                    </a:stretch>
                  </pic:blipFill>
                  <pic:spPr bwMode="auto">
                    <a:xfrm>
                      <a:off x="0" y="0"/>
                      <a:ext cx="4623610" cy="6256771"/>
                    </a:xfrm>
                    <a:prstGeom prst="rect">
                      <a:avLst/>
                    </a:prstGeom>
                    <a:noFill/>
                    <a:ln w="9525">
                      <a:noFill/>
                      <a:headEnd/>
                      <a:tailEnd/>
                    </a:ln>
                  </pic:spPr>
                </pic:pic>
              </a:graphicData>
            </a:graphic>
          </wp:inline>
        </w:drawing>
      </w:r>
    </w:p>
    <w:bookmarkEnd w:id="18"/>
    <w:p w14:paraId="6A51E4A5" w14:textId="77777777" w:rsidR="00B350F7" w:rsidRPr="001A38C8" w:rsidRDefault="00000000">
      <w:pPr>
        <w:pStyle w:val="ImageCaption"/>
        <w:jc w:val="center"/>
        <w:rPr>
          <w:rFonts w:cs="Times New Roman"/>
        </w:rPr>
      </w:pPr>
      <w:r>
        <w:rPr>
          <w:rFonts w:cs="Times New Roman"/>
        </w:rPr>
        <w:t>Figure 6: Conceptual framework of FSIM and FSIM-S. DPD, dew-point depression; M, mortality index; RH, relative humidity; W, wind speed; R, rainfall; T, air temperature.</w:t>
      </w:r>
    </w:p>
    <w:p w14:paraId="62BD86E0" w14:textId="77777777" w:rsidR="00B350F7" w:rsidRPr="001A38C8" w:rsidRDefault="00000000">
      <w:pPr>
        <w:pStyle w:val="Heading2"/>
        <w:rPr>
          <w:rFonts w:ascii="Times New Roman" w:hAnsi="Times New Roman" w:cs="Times New Roman"/>
        </w:rPr>
      </w:pPr>
      <w:bookmarkStart w:id="19" w:name="Xdeea143c5277c093d56657274fb4dafd3acaf75"/>
      <w:bookmarkEnd w:id="15"/>
      <w:bookmarkEnd w:id="17"/>
      <w:r w:rsidRPr="001A38C8">
        <w:rPr>
          <w:rFonts w:ascii="Times New Roman" w:hAnsi="Times New Roman" w:cs="Times New Roman"/>
        </w:rPr>
        <w:t>2.4 Parameterization and sensitivity analysis</w:t>
      </w:r>
    </w:p>
    <w:p w14:paraId="1BEC1FA9" w14:textId="77777777" w:rsidR="00B350F7" w:rsidRPr="001A38C8" w:rsidRDefault="00000000">
      <w:pPr>
        <w:pStyle w:val="FirstParagraph"/>
        <w:rPr>
          <w:rFonts w:cs="Times New Roman"/>
        </w:rPr>
      </w:pPr>
      <w:r w:rsidRPr="001A38C8">
        <w:rPr>
          <w:rFonts w:cs="Times New Roman"/>
        </w:rPr>
        <w:t>Global parameter influence was quantified for the sporangia-process route using variance-based Sobol sensitivity analysis.</w:t>
      </w:r>
      <w:hyperlink w:anchor="Reference_20" w:history="1">
        <w:r>
          <w:rPr>
            <w:rFonts w:cs="Times New Roman"/>
            <w:vertAlign w:val="superscript"/>
          </w:rPr>
          <w:t>20</w:t>
        </w:r>
      </w:hyperlink>
      <w:r>
        <w:rPr>
          <w:rFonts w:cs="Times New Roman"/>
          <w:vertAlign w:val="superscript"/>
        </w:rPr>
        <w:t>–</w:t>
      </w:r>
      <w:hyperlink w:anchor="Reference_22" w:history="1">
        <w:r>
          <w:rPr>
            <w:rFonts w:cs="Times New Roman"/>
            <w:vertAlign w:val="superscript"/>
          </w:rPr>
          <w:t>22</w:t>
        </w:r>
      </w:hyperlink>
      <w:r w:rsidRPr="001A38C8">
        <w:rPr>
          <w:rFonts w:cs="Times New Roman"/>
        </w:rPr>
        <w:t xml:space="preserve"> Six process parameters were screened across all six observed site–years in FSIM with the observation layer disabled; neither zero-count gating nor observed-pressure dose injection was applied. Inherited biological response functions were held fixed. First-, total- and second-order indices were estimated using SALib at base sample sizes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256</m:t>
        </m:r>
      </m:oMath>
      <w:r w:rsidRPr="001A38C8">
        <w:rPr>
          <w:rFonts w:cs="Times New Roman"/>
        </w:rPr>
        <w:t xml:space="preserve">, 512 and 1024; rankings were compared across designs. The analysis informed parameter screening </w:t>
      </w:r>
      <w:r w:rsidRPr="001A38C8">
        <w:rPr>
          <w:rFonts w:cs="Times New Roman"/>
        </w:rPr>
        <w:lastRenderedPageBreak/>
        <w:t>rather than calibration. Sampling domains, site–years, output definitions and confidence estimation are provided in Supplementary Methods S3 and Table S1.</w:t>
      </w:r>
    </w:p>
    <w:p w14:paraId="4C875988" w14:textId="77777777" w:rsidR="00B350F7" w:rsidRPr="001A38C8" w:rsidRDefault="00000000">
      <w:pPr>
        <w:pStyle w:val="Heading2"/>
        <w:rPr>
          <w:rFonts w:ascii="Times New Roman" w:hAnsi="Times New Roman" w:cs="Times New Roman"/>
        </w:rPr>
      </w:pPr>
      <w:bookmarkStart w:id="20" w:name="model-calibration-and-evaluation"/>
      <w:bookmarkEnd w:id="19"/>
      <w:r w:rsidRPr="001A38C8">
        <w:rPr>
          <w:rFonts w:ascii="Times New Roman" w:hAnsi="Times New Roman" w:cs="Times New Roman"/>
        </w:rPr>
        <w:t>2.5 Model calibration and evaluation</w:t>
      </w:r>
    </w:p>
    <w:p w14:paraId="7F8286A7" w14:textId="77777777" w:rsidR="00B350F7" w:rsidRPr="001A38C8" w:rsidRDefault="00000000">
      <w:pPr>
        <w:pStyle w:val="FirstParagraph"/>
        <w:rPr>
          <w:rFonts w:cs="Times New Roman"/>
        </w:rPr>
      </w:pPr>
      <w:r w:rsidRPr="001A38C8">
        <w:rPr>
          <w:rFonts w:cs="Times New Roman"/>
        </w:rPr>
        <w:t>Both models used the same weather, observed phenology and host susceptibility modifier, reflecting developmental variation in susceptibility.</w:t>
      </w:r>
      <w:hyperlink w:anchor="Reference_23" w:history="1">
        <w:r>
          <w:rPr>
            <w:rFonts w:cs="Times New Roman"/>
            <w:vertAlign w:val="superscript"/>
          </w:rPr>
          <w:t>23</w:t>
        </w:r>
      </w:hyperlink>
      <w:r>
        <w:rPr>
          <w:rFonts w:cs="Times New Roman"/>
          <w:vertAlign w:val="superscript"/>
        </w:rPr>
        <w:t>,</w:t>
      </w:r>
      <w:hyperlink w:anchor="Reference_24" w:history="1">
        <w:r>
          <w:rPr>
            <w:rFonts w:cs="Times New Roman"/>
            <w:vertAlign w:val="superscript"/>
          </w:rPr>
          <w:t>24</w:t>
        </w:r>
      </w:hyperlink>
      <w:r w:rsidRPr="001A38C8">
        <w:rPr>
          <w:rFonts w:cs="Times New Roman"/>
        </w:rPr>
        <w:t xml:space="preserve"> The modifier is detailed in Supplementary Methods S5. FSIM-S additionally used observed relative spore pressure.</w:t>
      </w:r>
    </w:p>
    <w:p w14:paraId="4D74A31D" w14:textId="77777777" w:rsidR="00B350F7" w:rsidRPr="001A38C8" w:rsidRDefault="00000000">
      <w:pPr>
        <w:pStyle w:val="Heading3"/>
        <w:rPr>
          <w:rFonts w:cs="Times New Roman"/>
        </w:rPr>
      </w:pPr>
      <w:bookmarkStart w:id="21" w:name="calibration-strategy"/>
      <w:r w:rsidRPr="001A38C8">
        <w:rPr>
          <w:rFonts w:cs="Times New Roman"/>
        </w:rPr>
        <w:t>2.5.1 Calibration strategy</w:t>
      </w:r>
    </w:p>
    <w:p w14:paraId="0EA25F56" w14:textId="77777777" w:rsidR="00B350F7" w:rsidRPr="001A38C8" w:rsidRDefault="00000000">
      <w:pPr>
        <w:pStyle w:val="FirstParagraph"/>
        <w:rPr>
          <w:rFonts w:cs="Times New Roman"/>
        </w:rPr>
      </w:pPr>
      <w:r w:rsidRPr="001A38C8">
        <w:rPr>
          <w:rFonts w:cs="Times New Roman"/>
        </w:rPr>
        <w:t>Six leave-one-site–year-out folds each used five site–years for calibration and one for evaluation. Sensitivity screening and manual perturbations informed the three fixed and three adjustable FSIM parameters (</w:t>
      </w:r>
      <w:hyperlink w:anchor="X6abb9f593bd6a1cb499530223daee251383c682">
        <w:r w:rsidR="00B350F7" w:rsidRPr="001A38C8">
          <w:rPr>
            <w:rStyle w:val="Hyperlink"/>
            <w:rFonts w:cs="Times New Roman"/>
          </w:rPr>
          <w:t>Table 2</w:t>
        </w:r>
      </w:hyperlink>
      <w:r w:rsidRPr="001A38C8">
        <w:rPr>
          <w:rFonts w:cs="Times New Roman"/>
        </w:rPr>
        <w:t xml:space="preserve">). Adjustable parameters were evaluated jointly using training interval errors and a missing-window penalty. Among near-optimal candidates, selection favoured proximity to their normalized median parameter vector. With FSIM parameters fixed, </w:t>
      </w:r>
      <m:oMath>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sp</m:t>
            </m:r>
          </m:sub>
        </m:sSub>
      </m:oMath>
      <w:r w:rsidRPr="001A38C8">
        <w:rPr>
          <w:rFonts w:cs="Times New Roman"/>
        </w:rPr>
        <w:t xml:space="preserve"> was compared on the same training records using training MAE. All positive candidates had identical training MAE, RMSE and bias within each fold, and the smallest positive candidate, 0.005, was retained in all six folds. Thus, this coefficient represents a tied optimum on the tested grid rather than a uniquely identified estimate; the median-centre rule applied to FSIM process parameters only. Both configurations were then fixed for held-out evaluation; held-out disease-onset observations did not enter selection. Candidate grids, selection rules and fold aggregation are detailed in Supplementary Methods S4.</w:t>
      </w:r>
    </w:p>
    <w:p w14:paraId="06302AE1" w14:textId="77777777" w:rsidR="00B350F7" w:rsidRPr="001A38C8" w:rsidRDefault="00B350F7">
      <w:pPr>
        <w:pStyle w:val="BodyText"/>
        <w:rPr>
          <w:rFonts w:cs="Times New Roman"/>
        </w:rPr>
      </w:pPr>
      <w:bookmarkStart w:id="22" w:name="X6abb9f593bd6a1cb499530223daee251383c682"/>
      <w:bookmarkEnd w:id="22"/>
    </w:p>
    <w:p w14:paraId="00E9BBE7" w14:textId="77777777" w:rsidR="00B350F7" w:rsidRPr="001A38C8" w:rsidRDefault="00000000">
      <w:pPr>
        <w:pStyle w:val="TableCaption"/>
        <w:rPr>
          <w:rFonts w:cs="Times New Roman"/>
        </w:rPr>
      </w:pPr>
      <w:r w:rsidRPr="001A38C8">
        <w:rPr>
          <w:rFonts w:cs="Times New Roman"/>
          <w:iCs/>
        </w:rPr>
        <w:lastRenderedPageBreak/>
        <w:t>Table 2 Fixed and calibrated parameters for FSIM and FSIM-S. Space and step describe the candidate evaluation; values are the fixed settings or selected deployment values.</w:t>
      </w:r>
    </w:p>
    <w:tbl>
      <w:tblPr>
        <w:tblStyle w:val="Table"/>
        <w:tblW w:w="5000" w:type="pct"/>
        <w:jc w:val="center"/>
        <w:tblBorders>
          <w:top w:val="single" w:sz="6" w:space="0" w:color="000000"/>
          <w:left w:val="nil"/>
          <w:bottom w:val="single" w:sz="6" w:space="0" w:color="000000"/>
          <w:right w:val="nil"/>
          <w:insideH w:val="nil"/>
          <w:insideV w:val="nil"/>
        </w:tblBorders>
        <w:tblLayout w:type="fixed"/>
        <w:tblLook w:val="0020" w:firstRow="1" w:lastRow="0" w:firstColumn="0" w:lastColumn="0" w:noHBand="0" w:noVBand="0"/>
      </w:tblPr>
      <w:tblGrid>
        <w:gridCol w:w="915"/>
        <w:gridCol w:w="1827"/>
        <w:gridCol w:w="1096"/>
        <w:gridCol w:w="1325"/>
        <w:gridCol w:w="867"/>
        <w:gridCol w:w="914"/>
        <w:gridCol w:w="2192"/>
      </w:tblGrid>
      <w:tr w:rsidR="00B350F7" w:rsidRPr="001A38C8" w14:paraId="20079637" w14:textId="77777777" w:rsidTr="00B350F7">
        <w:trPr>
          <w:cnfStyle w:val="100000000000" w:firstRow="1" w:lastRow="0" w:firstColumn="0" w:lastColumn="0" w:oddVBand="0" w:evenVBand="0" w:oddHBand="0" w:evenHBand="0" w:firstRowFirstColumn="0" w:firstRowLastColumn="0" w:lastRowFirstColumn="0" w:lastRowLastColumn="0"/>
          <w:cantSplit/>
          <w:tblHeader/>
          <w:jc w:val="center"/>
        </w:trPr>
        <w:tc>
          <w:tcPr>
            <w:tcW w:w="903" w:type="dxa"/>
            <w:tcBorders>
              <w:bottom w:val="single" w:sz="6" w:space="0" w:color="auto"/>
            </w:tcBorders>
            <w:tcMar>
              <w:top w:w="65" w:type="dxa"/>
              <w:left w:w="55" w:type="dxa"/>
              <w:bottom w:w="65" w:type="dxa"/>
              <w:right w:w="55" w:type="dxa"/>
            </w:tcMar>
            <w:vAlign w:val="center"/>
          </w:tcPr>
          <w:p w14:paraId="21DA4F4E" w14:textId="77777777" w:rsidR="00B350F7" w:rsidRPr="001A38C8" w:rsidRDefault="00000000">
            <w:pPr>
              <w:keepNext/>
              <w:keepLines/>
              <w:spacing w:after="0" w:line="264" w:lineRule="auto"/>
              <w:rPr>
                <w:rFonts w:cs="Times New Roman"/>
              </w:rPr>
            </w:pPr>
            <w:r w:rsidRPr="001A38C8">
              <w:rPr>
                <w:rFonts w:cs="Times New Roman"/>
                <w:b/>
                <w:sz w:val="18"/>
              </w:rPr>
              <w:t>Model</w:t>
            </w:r>
          </w:p>
        </w:tc>
        <w:tc>
          <w:tcPr>
            <w:tcW w:w="1805" w:type="dxa"/>
            <w:tcBorders>
              <w:bottom w:val="single" w:sz="6" w:space="0" w:color="auto"/>
            </w:tcBorders>
            <w:tcMar>
              <w:top w:w="65" w:type="dxa"/>
              <w:left w:w="55" w:type="dxa"/>
              <w:bottom w:w="65" w:type="dxa"/>
              <w:right w:w="55" w:type="dxa"/>
            </w:tcMar>
            <w:vAlign w:val="center"/>
          </w:tcPr>
          <w:p w14:paraId="4F213AA1" w14:textId="77777777" w:rsidR="00B350F7" w:rsidRPr="001A38C8" w:rsidRDefault="00000000">
            <w:pPr>
              <w:keepNext/>
              <w:keepLines/>
              <w:spacing w:after="0" w:line="264" w:lineRule="auto"/>
              <w:rPr>
                <w:rFonts w:cs="Times New Roman"/>
              </w:rPr>
            </w:pPr>
            <w:r w:rsidRPr="001A38C8">
              <w:rPr>
                <w:rFonts w:cs="Times New Roman"/>
                <w:b/>
                <w:sz w:val="18"/>
              </w:rPr>
              <w:t>Parameter</w:t>
            </w:r>
          </w:p>
        </w:tc>
        <w:tc>
          <w:tcPr>
            <w:tcW w:w="1083" w:type="dxa"/>
            <w:tcBorders>
              <w:bottom w:val="single" w:sz="6" w:space="0" w:color="auto"/>
            </w:tcBorders>
            <w:tcMar>
              <w:top w:w="65" w:type="dxa"/>
              <w:left w:w="55" w:type="dxa"/>
              <w:bottom w:w="65" w:type="dxa"/>
              <w:right w:w="55" w:type="dxa"/>
            </w:tcMar>
            <w:vAlign w:val="center"/>
          </w:tcPr>
          <w:p w14:paraId="48D308EB" w14:textId="77777777" w:rsidR="00B350F7" w:rsidRPr="001A38C8" w:rsidRDefault="00000000">
            <w:pPr>
              <w:keepNext/>
              <w:keepLines/>
              <w:spacing w:after="0" w:line="264" w:lineRule="auto"/>
              <w:rPr>
                <w:rFonts w:cs="Times New Roman"/>
              </w:rPr>
            </w:pPr>
            <w:r w:rsidRPr="001A38C8">
              <w:rPr>
                <w:rFonts w:cs="Times New Roman"/>
                <w:b/>
                <w:sz w:val="18"/>
              </w:rPr>
              <w:t>Space</w:t>
            </w:r>
          </w:p>
        </w:tc>
        <w:tc>
          <w:tcPr>
            <w:tcW w:w="1309" w:type="dxa"/>
            <w:tcBorders>
              <w:bottom w:val="single" w:sz="6" w:space="0" w:color="auto"/>
            </w:tcBorders>
            <w:tcMar>
              <w:top w:w="65" w:type="dxa"/>
              <w:left w:w="55" w:type="dxa"/>
              <w:bottom w:w="65" w:type="dxa"/>
              <w:right w:w="55" w:type="dxa"/>
            </w:tcMar>
            <w:vAlign w:val="center"/>
          </w:tcPr>
          <w:p w14:paraId="6309FA1C" w14:textId="77777777" w:rsidR="00B350F7" w:rsidRPr="001A38C8" w:rsidRDefault="00000000">
            <w:pPr>
              <w:keepNext/>
              <w:keepLines/>
              <w:spacing w:after="0" w:line="264" w:lineRule="auto"/>
              <w:rPr>
                <w:rFonts w:cs="Times New Roman"/>
              </w:rPr>
            </w:pPr>
            <w:r w:rsidRPr="001A38C8">
              <w:rPr>
                <w:rFonts w:cs="Times New Roman"/>
                <w:b/>
                <w:sz w:val="18"/>
              </w:rPr>
              <w:t>Step</w:t>
            </w:r>
          </w:p>
        </w:tc>
        <w:tc>
          <w:tcPr>
            <w:tcW w:w="857" w:type="dxa"/>
            <w:tcBorders>
              <w:bottom w:val="single" w:sz="6" w:space="0" w:color="auto"/>
            </w:tcBorders>
            <w:tcMar>
              <w:top w:w="65" w:type="dxa"/>
              <w:left w:w="55" w:type="dxa"/>
              <w:bottom w:w="65" w:type="dxa"/>
              <w:right w:w="55" w:type="dxa"/>
            </w:tcMar>
            <w:vAlign w:val="center"/>
          </w:tcPr>
          <w:p w14:paraId="10CCDCBE" w14:textId="77777777" w:rsidR="00B350F7" w:rsidRPr="001A38C8" w:rsidRDefault="00000000">
            <w:pPr>
              <w:keepNext/>
              <w:keepLines/>
              <w:spacing w:after="0" w:line="264" w:lineRule="auto"/>
              <w:rPr>
                <w:rFonts w:cs="Times New Roman"/>
              </w:rPr>
            </w:pPr>
            <w:r w:rsidRPr="001A38C8">
              <w:rPr>
                <w:rFonts w:cs="Times New Roman"/>
                <w:b/>
                <w:sz w:val="18"/>
              </w:rPr>
              <w:t>Value</w:t>
            </w:r>
          </w:p>
        </w:tc>
        <w:tc>
          <w:tcPr>
            <w:tcW w:w="903" w:type="dxa"/>
            <w:tcBorders>
              <w:bottom w:val="single" w:sz="6" w:space="0" w:color="auto"/>
            </w:tcBorders>
            <w:tcMar>
              <w:top w:w="65" w:type="dxa"/>
              <w:left w:w="55" w:type="dxa"/>
              <w:bottom w:w="65" w:type="dxa"/>
              <w:right w:w="55" w:type="dxa"/>
            </w:tcMar>
            <w:vAlign w:val="center"/>
          </w:tcPr>
          <w:p w14:paraId="1E3D0CF6" w14:textId="77777777" w:rsidR="00B350F7" w:rsidRPr="001A38C8" w:rsidRDefault="00000000">
            <w:pPr>
              <w:keepNext/>
              <w:keepLines/>
              <w:spacing w:after="0" w:line="264" w:lineRule="auto"/>
              <w:rPr>
                <w:rFonts w:cs="Times New Roman"/>
              </w:rPr>
            </w:pPr>
            <w:r w:rsidRPr="001A38C8">
              <w:rPr>
                <w:rFonts w:cs="Times New Roman"/>
                <w:b/>
                <w:sz w:val="18"/>
              </w:rPr>
              <w:t>Unit</w:t>
            </w:r>
          </w:p>
        </w:tc>
        <w:tc>
          <w:tcPr>
            <w:tcW w:w="2166" w:type="dxa"/>
            <w:tcBorders>
              <w:bottom w:val="single" w:sz="6" w:space="0" w:color="auto"/>
            </w:tcBorders>
            <w:tcMar>
              <w:top w:w="65" w:type="dxa"/>
              <w:left w:w="55" w:type="dxa"/>
              <w:bottom w:w="65" w:type="dxa"/>
              <w:right w:w="55" w:type="dxa"/>
            </w:tcMar>
            <w:vAlign w:val="center"/>
          </w:tcPr>
          <w:p w14:paraId="27270C17" w14:textId="77777777" w:rsidR="00B350F7" w:rsidRPr="001A38C8" w:rsidRDefault="00000000">
            <w:pPr>
              <w:keepNext/>
              <w:keepLines/>
              <w:spacing w:after="0" w:line="264" w:lineRule="auto"/>
              <w:rPr>
                <w:rFonts w:cs="Times New Roman"/>
              </w:rPr>
            </w:pPr>
            <w:r w:rsidRPr="001A38C8">
              <w:rPr>
                <w:rFonts w:cs="Times New Roman"/>
                <w:b/>
                <w:sz w:val="18"/>
              </w:rPr>
              <w:t>Description</w:t>
            </w:r>
          </w:p>
        </w:tc>
      </w:tr>
      <w:tr w:rsidR="00B350F7" w:rsidRPr="001A38C8" w14:paraId="39104C64" w14:textId="77777777" w:rsidTr="00B350F7">
        <w:trPr>
          <w:cantSplit/>
          <w:jc w:val="center"/>
        </w:trPr>
        <w:tc>
          <w:tcPr>
            <w:tcW w:w="903" w:type="dxa"/>
            <w:tcMar>
              <w:top w:w="65" w:type="dxa"/>
              <w:left w:w="55" w:type="dxa"/>
              <w:bottom w:w="65" w:type="dxa"/>
              <w:right w:w="55" w:type="dxa"/>
            </w:tcMar>
            <w:vAlign w:val="center"/>
          </w:tcPr>
          <w:p w14:paraId="5E1A76DF" w14:textId="77777777" w:rsidR="00B350F7" w:rsidRPr="001A38C8" w:rsidRDefault="00000000">
            <w:pPr>
              <w:keepLines/>
              <w:spacing w:after="0" w:line="264" w:lineRule="auto"/>
              <w:rPr>
                <w:rFonts w:cs="Times New Roman"/>
              </w:rPr>
            </w:pPr>
            <w:r w:rsidRPr="001A38C8">
              <w:rPr>
                <w:rFonts w:cs="Times New Roman"/>
                <w:sz w:val="18"/>
              </w:rPr>
              <w:t>FSIM / FSIM-S</w:t>
            </w:r>
          </w:p>
        </w:tc>
        <w:tc>
          <w:tcPr>
            <w:tcW w:w="1805" w:type="dxa"/>
            <w:tcMar>
              <w:top w:w="65" w:type="dxa"/>
              <w:left w:w="55" w:type="dxa"/>
              <w:bottom w:w="65" w:type="dxa"/>
              <w:right w:w="55" w:type="dxa"/>
            </w:tcMar>
            <w:vAlign w:val="center"/>
          </w:tcPr>
          <w:p w14:paraId="384F4060" w14:textId="77777777" w:rsidR="00B350F7" w:rsidRPr="001A38C8" w:rsidRDefault="00000000">
            <w:pPr>
              <w:keepLines/>
              <w:spacing w:after="0" w:line="264" w:lineRule="auto"/>
              <w:rPr>
                <w:rFonts w:cs="Times New Roman"/>
              </w:rPr>
            </w:pPr>
            <w:r w:rsidRPr="001A38C8">
              <w:rPr>
                <w:rFonts w:cs="Times New Roman"/>
                <w:sz w:val="18"/>
              </w:rPr>
              <w:t>Wind-speed threshold (WTH)</w:t>
            </w:r>
          </w:p>
        </w:tc>
        <w:tc>
          <w:tcPr>
            <w:tcW w:w="1083" w:type="dxa"/>
            <w:tcMar>
              <w:top w:w="65" w:type="dxa"/>
              <w:left w:w="55" w:type="dxa"/>
              <w:bottom w:w="65" w:type="dxa"/>
              <w:right w:w="55" w:type="dxa"/>
            </w:tcMar>
            <w:vAlign w:val="center"/>
          </w:tcPr>
          <w:p w14:paraId="536563E9" w14:textId="77777777" w:rsidR="00B350F7" w:rsidRPr="001A38C8" w:rsidRDefault="00000000">
            <w:pPr>
              <w:keepLines/>
              <w:spacing w:after="0" w:line="264" w:lineRule="auto"/>
              <w:rPr>
                <w:rFonts w:cs="Times New Roman"/>
              </w:rPr>
            </w:pPr>
            <w:r w:rsidRPr="001A38C8">
              <w:rPr>
                <w:rFonts w:cs="Times New Roman"/>
                <w:sz w:val="18"/>
              </w:rPr>
              <w:t>Fixed</w:t>
            </w:r>
          </w:p>
        </w:tc>
        <w:tc>
          <w:tcPr>
            <w:tcW w:w="1309" w:type="dxa"/>
            <w:tcMar>
              <w:top w:w="65" w:type="dxa"/>
              <w:left w:w="55" w:type="dxa"/>
              <w:bottom w:w="65" w:type="dxa"/>
              <w:right w:w="55" w:type="dxa"/>
            </w:tcMar>
            <w:vAlign w:val="center"/>
          </w:tcPr>
          <w:p w14:paraId="73B6D4F5" w14:textId="77777777" w:rsidR="00B350F7" w:rsidRPr="001A38C8" w:rsidRDefault="00000000">
            <w:pPr>
              <w:keepLines/>
              <w:spacing w:after="0" w:line="264" w:lineRule="auto"/>
              <w:rPr>
                <w:rFonts w:cs="Times New Roman"/>
              </w:rPr>
            </w:pPr>
            <w:r w:rsidRPr="001A38C8">
              <w:rPr>
                <w:rFonts w:cs="Times New Roman"/>
                <w:sz w:val="18"/>
              </w:rPr>
              <w:t>/</w:t>
            </w:r>
          </w:p>
        </w:tc>
        <w:tc>
          <w:tcPr>
            <w:tcW w:w="857" w:type="dxa"/>
            <w:tcMar>
              <w:top w:w="65" w:type="dxa"/>
              <w:left w:w="55" w:type="dxa"/>
              <w:bottom w:w="65" w:type="dxa"/>
              <w:right w:w="55" w:type="dxa"/>
            </w:tcMar>
            <w:vAlign w:val="center"/>
          </w:tcPr>
          <w:p w14:paraId="4814A9BF" w14:textId="77777777" w:rsidR="00B350F7" w:rsidRPr="001A38C8" w:rsidRDefault="00000000">
            <w:pPr>
              <w:keepLines/>
              <w:spacing w:after="0" w:line="264" w:lineRule="auto"/>
              <w:rPr>
                <w:rFonts w:cs="Times New Roman"/>
              </w:rPr>
            </w:pPr>
            <w:r w:rsidRPr="001A38C8">
              <w:rPr>
                <w:rFonts w:cs="Times New Roman"/>
                <w:sz w:val="18"/>
              </w:rPr>
              <w:t>0.5</w:t>
            </w:r>
          </w:p>
        </w:tc>
        <w:tc>
          <w:tcPr>
            <w:tcW w:w="903" w:type="dxa"/>
            <w:tcMar>
              <w:top w:w="65" w:type="dxa"/>
              <w:left w:w="55" w:type="dxa"/>
              <w:bottom w:w="65" w:type="dxa"/>
              <w:right w:w="55" w:type="dxa"/>
            </w:tcMar>
            <w:vAlign w:val="center"/>
          </w:tcPr>
          <w:p w14:paraId="5BC0F00F" w14:textId="77777777" w:rsidR="00B350F7" w:rsidRPr="001A38C8" w:rsidRDefault="00000000">
            <w:pPr>
              <w:keepLines/>
              <w:spacing w:after="0" w:line="264" w:lineRule="auto"/>
              <w:rPr>
                <w:rFonts w:cs="Times New Roman"/>
              </w:rPr>
            </w:pPr>
            <w:r w:rsidRPr="001A38C8">
              <w:rPr>
                <w:rFonts w:cs="Times New Roman"/>
                <w:sz w:val="18"/>
              </w:rPr>
              <w:t>m s</w:t>
            </w:r>
            <w:r w:rsidRPr="001A38C8">
              <w:rPr>
                <w:rFonts w:cs="Times New Roman"/>
                <w:sz w:val="18"/>
                <w:vertAlign w:val="superscript"/>
              </w:rPr>
              <w:t>-1</w:t>
            </w:r>
          </w:p>
        </w:tc>
        <w:tc>
          <w:tcPr>
            <w:tcW w:w="2166" w:type="dxa"/>
            <w:tcMar>
              <w:top w:w="65" w:type="dxa"/>
              <w:left w:w="55" w:type="dxa"/>
              <w:bottom w:w="65" w:type="dxa"/>
              <w:right w:w="55" w:type="dxa"/>
            </w:tcMar>
            <w:vAlign w:val="center"/>
          </w:tcPr>
          <w:p w14:paraId="13C649F7" w14:textId="77777777" w:rsidR="00B350F7" w:rsidRPr="001A38C8" w:rsidRDefault="00000000">
            <w:pPr>
              <w:keepLines/>
              <w:spacing w:after="0" w:line="264" w:lineRule="auto"/>
              <w:rPr>
                <w:rFonts w:cs="Times New Roman"/>
              </w:rPr>
            </w:pPr>
            <w:r w:rsidRPr="001A38C8">
              <w:rPr>
                <w:rFonts w:cs="Times New Roman"/>
                <w:sz w:val="18"/>
              </w:rPr>
              <w:t>Minimum wind speed for sporangial dispersal.</w:t>
            </w:r>
          </w:p>
        </w:tc>
      </w:tr>
      <w:tr w:rsidR="00B350F7" w:rsidRPr="001A38C8" w14:paraId="6BDC3E16" w14:textId="77777777" w:rsidTr="00B350F7">
        <w:trPr>
          <w:cantSplit/>
          <w:jc w:val="center"/>
        </w:trPr>
        <w:tc>
          <w:tcPr>
            <w:tcW w:w="903" w:type="dxa"/>
            <w:tcMar>
              <w:top w:w="65" w:type="dxa"/>
              <w:left w:w="55" w:type="dxa"/>
              <w:bottom w:w="65" w:type="dxa"/>
              <w:right w:w="55" w:type="dxa"/>
            </w:tcMar>
            <w:vAlign w:val="center"/>
          </w:tcPr>
          <w:p w14:paraId="414F72FE" w14:textId="77777777" w:rsidR="00B350F7" w:rsidRPr="001A38C8" w:rsidRDefault="00000000">
            <w:pPr>
              <w:keepLines/>
              <w:spacing w:after="0" w:line="264" w:lineRule="auto"/>
              <w:rPr>
                <w:rFonts w:cs="Times New Roman"/>
              </w:rPr>
            </w:pPr>
            <w:r w:rsidRPr="001A38C8">
              <w:rPr>
                <w:rFonts w:cs="Times New Roman"/>
                <w:sz w:val="18"/>
              </w:rPr>
              <w:t>FSIM / FSIM-S</w:t>
            </w:r>
          </w:p>
        </w:tc>
        <w:tc>
          <w:tcPr>
            <w:tcW w:w="1805" w:type="dxa"/>
            <w:tcMar>
              <w:top w:w="65" w:type="dxa"/>
              <w:left w:w="55" w:type="dxa"/>
              <w:bottom w:w="65" w:type="dxa"/>
              <w:right w:w="55" w:type="dxa"/>
            </w:tcMar>
            <w:vAlign w:val="center"/>
          </w:tcPr>
          <w:p w14:paraId="1FFB4BDF" w14:textId="77777777" w:rsidR="00B350F7" w:rsidRPr="001A38C8" w:rsidRDefault="00000000">
            <w:pPr>
              <w:keepLines/>
              <w:spacing w:after="0" w:line="264" w:lineRule="auto"/>
              <w:rPr>
                <w:rFonts w:cs="Times New Roman"/>
              </w:rPr>
            </w:pPr>
            <w:r w:rsidRPr="001A38C8">
              <w:rPr>
                <w:rFonts w:cs="Times New Roman"/>
                <w:sz w:val="18"/>
              </w:rPr>
              <w:t>Heavy-rain wash-off threshold (HWR)</w:t>
            </w:r>
          </w:p>
        </w:tc>
        <w:tc>
          <w:tcPr>
            <w:tcW w:w="1083" w:type="dxa"/>
            <w:tcMar>
              <w:top w:w="65" w:type="dxa"/>
              <w:left w:w="55" w:type="dxa"/>
              <w:bottom w:w="65" w:type="dxa"/>
              <w:right w:w="55" w:type="dxa"/>
            </w:tcMar>
            <w:vAlign w:val="center"/>
          </w:tcPr>
          <w:p w14:paraId="069A7C70" w14:textId="77777777" w:rsidR="00B350F7" w:rsidRPr="001A38C8" w:rsidRDefault="00000000">
            <w:pPr>
              <w:keepLines/>
              <w:spacing w:after="0" w:line="264" w:lineRule="auto"/>
              <w:rPr>
                <w:rFonts w:cs="Times New Roman"/>
              </w:rPr>
            </w:pPr>
            <w:r w:rsidRPr="001A38C8">
              <w:rPr>
                <w:rFonts w:cs="Times New Roman"/>
                <w:sz w:val="18"/>
              </w:rPr>
              <w:t>Fixed</w:t>
            </w:r>
          </w:p>
        </w:tc>
        <w:tc>
          <w:tcPr>
            <w:tcW w:w="1309" w:type="dxa"/>
            <w:tcMar>
              <w:top w:w="65" w:type="dxa"/>
              <w:left w:w="55" w:type="dxa"/>
              <w:bottom w:w="65" w:type="dxa"/>
              <w:right w:w="55" w:type="dxa"/>
            </w:tcMar>
            <w:vAlign w:val="center"/>
          </w:tcPr>
          <w:p w14:paraId="6FA480AB" w14:textId="77777777" w:rsidR="00B350F7" w:rsidRPr="001A38C8" w:rsidRDefault="00000000">
            <w:pPr>
              <w:keepLines/>
              <w:spacing w:after="0" w:line="264" w:lineRule="auto"/>
              <w:rPr>
                <w:rFonts w:cs="Times New Roman"/>
              </w:rPr>
            </w:pPr>
            <w:r w:rsidRPr="001A38C8">
              <w:rPr>
                <w:rFonts w:cs="Times New Roman"/>
                <w:sz w:val="18"/>
              </w:rPr>
              <w:t>/</w:t>
            </w:r>
          </w:p>
        </w:tc>
        <w:tc>
          <w:tcPr>
            <w:tcW w:w="857" w:type="dxa"/>
            <w:tcMar>
              <w:top w:w="65" w:type="dxa"/>
              <w:left w:w="55" w:type="dxa"/>
              <w:bottom w:w="65" w:type="dxa"/>
              <w:right w:w="55" w:type="dxa"/>
            </w:tcMar>
            <w:vAlign w:val="center"/>
          </w:tcPr>
          <w:p w14:paraId="14E911DD" w14:textId="77777777" w:rsidR="00B350F7" w:rsidRPr="001A38C8" w:rsidRDefault="00000000">
            <w:pPr>
              <w:keepLines/>
              <w:spacing w:after="0" w:line="264" w:lineRule="auto"/>
              <w:rPr>
                <w:rFonts w:cs="Times New Roman"/>
              </w:rPr>
            </w:pPr>
            <w:r w:rsidRPr="001A38C8">
              <w:rPr>
                <w:rFonts w:cs="Times New Roman"/>
                <w:sz w:val="18"/>
              </w:rPr>
              <w:t>5</w:t>
            </w:r>
          </w:p>
        </w:tc>
        <w:tc>
          <w:tcPr>
            <w:tcW w:w="903" w:type="dxa"/>
            <w:tcMar>
              <w:top w:w="65" w:type="dxa"/>
              <w:left w:w="55" w:type="dxa"/>
              <w:bottom w:w="65" w:type="dxa"/>
              <w:right w:w="55" w:type="dxa"/>
            </w:tcMar>
            <w:vAlign w:val="center"/>
          </w:tcPr>
          <w:p w14:paraId="4C5F1AC9" w14:textId="77777777" w:rsidR="00B350F7" w:rsidRPr="001A38C8" w:rsidRDefault="00000000">
            <w:pPr>
              <w:keepLines/>
              <w:spacing w:after="0" w:line="264" w:lineRule="auto"/>
              <w:rPr>
                <w:rFonts w:cs="Times New Roman"/>
              </w:rPr>
            </w:pPr>
            <w:r w:rsidRPr="001A38C8">
              <w:rPr>
                <w:rFonts w:cs="Times New Roman"/>
                <w:sz w:val="18"/>
              </w:rPr>
              <w:t>mm h</w:t>
            </w:r>
            <w:r w:rsidRPr="001A38C8">
              <w:rPr>
                <w:rFonts w:cs="Times New Roman"/>
                <w:sz w:val="18"/>
                <w:vertAlign w:val="superscript"/>
              </w:rPr>
              <w:t>-1</w:t>
            </w:r>
          </w:p>
        </w:tc>
        <w:tc>
          <w:tcPr>
            <w:tcW w:w="2166" w:type="dxa"/>
            <w:tcMar>
              <w:top w:w="65" w:type="dxa"/>
              <w:left w:w="55" w:type="dxa"/>
              <w:bottom w:w="65" w:type="dxa"/>
              <w:right w:w="55" w:type="dxa"/>
            </w:tcMar>
            <w:vAlign w:val="center"/>
          </w:tcPr>
          <w:p w14:paraId="77936024" w14:textId="77777777" w:rsidR="00B350F7" w:rsidRPr="001A38C8" w:rsidRDefault="00000000">
            <w:pPr>
              <w:keepLines/>
              <w:spacing w:after="0" w:line="264" w:lineRule="auto"/>
              <w:rPr>
                <w:rFonts w:cs="Times New Roman"/>
              </w:rPr>
            </w:pPr>
            <w:r w:rsidRPr="001A38C8">
              <w:rPr>
                <w:rFonts w:cs="Times New Roman"/>
                <w:sz w:val="18"/>
              </w:rPr>
              <w:t>Hourly rainfall at or above this threshold removes airborne cohorts.</w:t>
            </w:r>
          </w:p>
        </w:tc>
      </w:tr>
      <w:tr w:rsidR="00B350F7" w:rsidRPr="001A38C8" w14:paraId="57C39A19" w14:textId="77777777" w:rsidTr="00B350F7">
        <w:trPr>
          <w:cantSplit/>
          <w:jc w:val="center"/>
        </w:trPr>
        <w:tc>
          <w:tcPr>
            <w:tcW w:w="903" w:type="dxa"/>
            <w:tcMar>
              <w:top w:w="65" w:type="dxa"/>
              <w:left w:w="55" w:type="dxa"/>
              <w:bottom w:w="65" w:type="dxa"/>
              <w:right w:w="55" w:type="dxa"/>
            </w:tcMar>
            <w:vAlign w:val="center"/>
          </w:tcPr>
          <w:p w14:paraId="7B46B951" w14:textId="77777777" w:rsidR="00B350F7" w:rsidRPr="001A38C8" w:rsidRDefault="00000000">
            <w:pPr>
              <w:keepLines/>
              <w:spacing w:after="0" w:line="264" w:lineRule="auto"/>
              <w:rPr>
                <w:rFonts w:cs="Times New Roman"/>
              </w:rPr>
            </w:pPr>
            <w:r w:rsidRPr="001A38C8">
              <w:rPr>
                <w:rFonts w:cs="Times New Roman"/>
                <w:sz w:val="18"/>
              </w:rPr>
              <w:t>FSIM / FSIM-S</w:t>
            </w:r>
          </w:p>
        </w:tc>
        <w:tc>
          <w:tcPr>
            <w:tcW w:w="1805" w:type="dxa"/>
            <w:tcMar>
              <w:top w:w="65" w:type="dxa"/>
              <w:left w:w="55" w:type="dxa"/>
              <w:bottom w:w="65" w:type="dxa"/>
              <w:right w:w="55" w:type="dxa"/>
            </w:tcMar>
            <w:vAlign w:val="center"/>
          </w:tcPr>
          <w:p w14:paraId="634044D8" w14:textId="77777777" w:rsidR="00B350F7" w:rsidRPr="001A38C8" w:rsidRDefault="00000000">
            <w:pPr>
              <w:keepLines/>
              <w:spacing w:after="0" w:line="264" w:lineRule="auto"/>
              <w:rPr>
                <w:rFonts w:cs="Times New Roman"/>
              </w:rPr>
            </w:pPr>
            <w:r w:rsidRPr="001A38C8">
              <w:rPr>
                <w:rFonts w:cs="Times New Roman"/>
                <w:sz w:val="18"/>
              </w:rPr>
              <w:t>Minimum moist hours (MMH)</w:t>
            </w:r>
          </w:p>
        </w:tc>
        <w:tc>
          <w:tcPr>
            <w:tcW w:w="1083" w:type="dxa"/>
            <w:tcMar>
              <w:top w:w="65" w:type="dxa"/>
              <w:left w:w="55" w:type="dxa"/>
              <w:bottom w:w="65" w:type="dxa"/>
              <w:right w:w="55" w:type="dxa"/>
            </w:tcMar>
            <w:vAlign w:val="center"/>
          </w:tcPr>
          <w:p w14:paraId="339E0C61" w14:textId="77777777" w:rsidR="00B350F7" w:rsidRPr="001A38C8" w:rsidRDefault="00000000">
            <w:pPr>
              <w:keepLines/>
              <w:spacing w:after="0" w:line="264" w:lineRule="auto"/>
              <w:rPr>
                <w:rFonts w:cs="Times New Roman"/>
              </w:rPr>
            </w:pPr>
            <w:r w:rsidRPr="001A38C8">
              <w:rPr>
                <w:rFonts w:cs="Times New Roman"/>
                <w:sz w:val="18"/>
              </w:rPr>
              <w:t>Fixed</w:t>
            </w:r>
          </w:p>
        </w:tc>
        <w:tc>
          <w:tcPr>
            <w:tcW w:w="1309" w:type="dxa"/>
            <w:tcMar>
              <w:top w:w="65" w:type="dxa"/>
              <w:left w:w="55" w:type="dxa"/>
              <w:bottom w:w="65" w:type="dxa"/>
              <w:right w:w="55" w:type="dxa"/>
            </w:tcMar>
            <w:vAlign w:val="center"/>
          </w:tcPr>
          <w:p w14:paraId="514DAD05" w14:textId="77777777" w:rsidR="00B350F7" w:rsidRPr="001A38C8" w:rsidRDefault="00000000">
            <w:pPr>
              <w:keepLines/>
              <w:spacing w:after="0" w:line="264" w:lineRule="auto"/>
              <w:rPr>
                <w:rFonts w:cs="Times New Roman"/>
              </w:rPr>
            </w:pPr>
            <w:r w:rsidRPr="001A38C8">
              <w:rPr>
                <w:rFonts w:cs="Times New Roman"/>
                <w:sz w:val="18"/>
              </w:rPr>
              <w:t>/</w:t>
            </w:r>
          </w:p>
        </w:tc>
        <w:tc>
          <w:tcPr>
            <w:tcW w:w="857" w:type="dxa"/>
            <w:tcMar>
              <w:top w:w="65" w:type="dxa"/>
              <w:left w:w="55" w:type="dxa"/>
              <w:bottom w:w="65" w:type="dxa"/>
              <w:right w:w="55" w:type="dxa"/>
            </w:tcMar>
            <w:vAlign w:val="center"/>
          </w:tcPr>
          <w:p w14:paraId="2BF3731B" w14:textId="77777777" w:rsidR="00B350F7" w:rsidRPr="001A38C8" w:rsidRDefault="00000000">
            <w:pPr>
              <w:keepLines/>
              <w:spacing w:after="0" w:line="264" w:lineRule="auto"/>
              <w:rPr>
                <w:rFonts w:cs="Times New Roman"/>
              </w:rPr>
            </w:pPr>
            <w:r w:rsidRPr="001A38C8">
              <w:rPr>
                <w:rFonts w:cs="Times New Roman"/>
                <w:sz w:val="18"/>
              </w:rPr>
              <w:t>7</w:t>
            </w:r>
          </w:p>
        </w:tc>
        <w:tc>
          <w:tcPr>
            <w:tcW w:w="903" w:type="dxa"/>
            <w:tcMar>
              <w:top w:w="65" w:type="dxa"/>
              <w:left w:w="55" w:type="dxa"/>
              <w:bottom w:w="65" w:type="dxa"/>
              <w:right w:w="55" w:type="dxa"/>
            </w:tcMar>
            <w:vAlign w:val="center"/>
          </w:tcPr>
          <w:p w14:paraId="3593A7EE" w14:textId="77777777" w:rsidR="00B350F7" w:rsidRPr="001A38C8" w:rsidRDefault="00000000">
            <w:pPr>
              <w:keepLines/>
              <w:spacing w:after="0" w:line="264" w:lineRule="auto"/>
              <w:rPr>
                <w:rFonts w:cs="Times New Roman"/>
              </w:rPr>
            </w:pPr>
            <w:r w:rsidRPr="001A38C8">
              <w:rPr>
                <w:rFonts w:cs="Times New Roman"/>
                <w:sz w:val="18"/>
              </w:rPr>
              <w:t>h</w:t>
            </w:r>
          </w:p>
        </w:tc>
        <w:tc>
          <w:tcPr>
            <w:tcW w:w="2166" w:type="dxa"/>
            <w:tcMar>
              <w:top w:w="65" w:type="dxa"/>
              <w:left w:w="55" w:type="dxa"/>
              <w:bottom w:w="65" w:type="dxa"/>
              <w:right w:w="55" w:type="dxa"/>
            </w:tcMar>
            <w:vAlign w:val="center"/>
          </w:tcPr>
          <w:p w14:paraId="7C9E161F" w14:textId="77777777" w:rsidR="00B350F7" w:rsidRPr="001A38C8" w:rsidRDefault="00000000">
            <w:pPr>
              <w:keepLines/>
              <w:spacing w:after="0" w:line="264" w:lineRule="auto"/>
              <w:rPr>
                <w:rFonts w:cs="Times New Roman"/>
              </w:rPr>
            </w:pPr>
            <w:r w:rsidRPr="001A38C8">
              <w:rPr>
                <w:rFonts w:cs="Times New Roman"/>
                <w:sz w:val="18"/>
              </w:rPr>
              <w:t>Minimum night-time moist duration for sporulation.</w:t>
            </w:r>
          </w:p>
        </w:tc>
      </w:tr>
      <w:tr w:rsidR="00B350F7" w:rsidRPr="001A38C8" w14:paraId="0A03C58A" w14:textId="77777777" w:rsidTr="00B350F7">
        <w:trPr>
          <w:cantSplit/>
          <w:jc w:val="center"/>
        </w:trPr>
        <w:tc>
          <w:tcPr>
            <w:tcW w:w="903" w:type="dxa"/>
            <w:tcMar>
              <w:top w:w="65" w:type="dxa"/>
              <w:left w:w="55" w:type="dxa"/>
              <w:bottom w:w="65" w:type="dxa"/>
              <w:right w:w="55" w:type="dxa"/>
            </w:tcMar>
            <w:vAlign w:val="center"/>
          </w:tcPr>
          <w:p w14:paraId="05FB8E12" w14:textId="77777777" w:rsidR="00B350F7" w:rsidRPr="001A38C8" w:rsidRDefault="00000000">
            <w:pPr>
              <w:keepLines/>
              <w:spacing w:after="0" w:line="264" w:lineRule="auto"/>
              <w:rPr>
                <w:rFonts w:cs="Times New Roman"/>
              </w:rPr>
            </w:pPr>
            <w:r w:rsidRPr="001A38C8">
              <w:rPr>
                <w:rFonts w:cs="Times New Roman"/>
                <w:sz w:val="18"/>
              </w:rPr>
              <w:t>FSIM / FSIM-S</w:t>
            </w:r>
          </w:p>
        </w:tc>
        <w:tc>
          <w:tcPr>
            <w:tcW w:w="1805" w:type="dxa"/>
            <w:tcMar>
              <w:top w:w="65" w:type="dxa"/>
              <w:left w:w="55" w:type="dxa"/>
              <w:bottom w:w="65" w:type="dxa"/>
              <w:right w:w="55" w:type="dxa"/>
            </w:tcMar>
            <w:vAlign w:val="center"/>
          </w:tcPr>
          <w:p w14:paraId="1E860BFA" w14:textId="77777777" w:rsidR="00B350F7" w:rsidRPr="001A38C8" w:rsidRDefault="00000000">
            <w:pPr>
              <w:keepLines/>
              <w:spacing w:after="0" w:line="264" w:lineRule="auto"/>
              <w:rPr>
                <w:rFonts w:cs="Times New Roman"/>
              </w:rPr>
            </w:pPr>
            <w:r w:rsidRPr="001A38C8">
              <w:rPr>
                <w:rFonts w:cs="Times New Roman"/>
                <w:sz w:val="18"/>
              </w:rPr>
              <w:t>Infection degree-hour threshold (IDH)</w:t>
            </w:r>
          </w:p>
        </w:tc>
        <w:tc>
          <w:tcPr>
            <w:tcW w:w="1083" w:type="dxa"/>
            <w:tcMar>
              <w:top w:w="65" w:type="dxa"/>
              <w:left w:w="55" w:type="dxa"/>
              <w:bottom w:w="65" w:type="dxa"/>
              <w:right w:w="55" w:type="dxa"/>
            </w:tcMar>
            <w:vAlign w:val="center"/>
          </w:tcPr>
          <w:p w14:paraId="17863B95" w14:textId="77777777" w:rsidR="00B350F7" w:rsidRPr="001A38C8" w:rsidRDefault="00000000">
            <w:pPr>
              <w:keepLines/>
              <w:spacing w:after="0" w:line="264" w:lineRule="auto"/>
              <w:rPr>
                <w:rFonts w:cs="Times New Roman"/>
              </w:rPr>
            </w:pPr>
            <w:r w:rsidRPr="001A38C8">
              <w:rPr>
                <w:rFonts w:cs="Times New Roman"/>
                <w:sz w:val="18"/>
              </w:rPr>
              <w:t>150–200</w:t>
            </w:r>
          </w:p>
        </w:tc>
        <w:tc>
          <w:tcPr>
            <w:tcW w:w="1309" w:type="dxa"/>
            <w:tcMar>
              <w:top w:w="65" w:type="dxa"/>
              <w:left w:w="55" w:type="dxa"/>
              <w:bottom w:w="65" w:type="dxa"/>
              <w:right w:w="55" w:type="dxa"/>
            </w:tcMar>
            <w:vAlign w:val="center"/>
          </w:tcPr>
          <w:p w14:paraId="13A87ABB" w14:textId="77777777" w:rsidR="00B350F7" w:rsidRPr="001A38C8" w:rsidRDefault="00000000">
            <w:pPr>
              <w:keepLines/>
              <w:spacing w:after="0" w:line="264" w:lineRule="auto"/>
              <w:rPr>
                <w:rFonts w:cs="Times New Roman"/>
              </w:rPr>
            </w:pPr>
            <w:r w:rsidRPr="001A38C8">
              <w:rPr>
                <w:rFonts w:cs="Times New Roman"/>
                <w:sz w:val="18"/>
              </w:rPr>
              <w:t>10</w:t>
            </w:r>
          </w:p>
        </w:tc>
        <w:tc>
          <w:tcPr>
            <w:tcW w:w="857" w:type="dxa"/>
            <w:tcMar>
              <w:top w:w="65" w:type="dxa"/>
              <w:left w:w="55" w:type="dxa"/>
              <w:bottom w:w="65" w:type="dxa"/>
              <w:right w:w="55" w:type="dxa"/>
            </w:tcMar>
            <w:vAlign w:val="center"/>
          </w:tcPr>
          <w:p w14:paraId="417902DE" w14:textId="77777777" w:rsidR="00B350F7" w:rsidRPr="001A38C8" w:rsidRDefault="00000000">
            <w:pPr>
              <w:keepLines/>
              <w:spacing w:after="0" w:line="264" w:lineRule="auto"/>
              <w:rPr>
                <w:rFonts w:cs="Times New Roman"/>
              </w:rPr>
            </w:pPr>
            <w:r w:rsidRPr="001A38C8">
              <w:rPr>
                <w:rFonts w:cs="Times New Roman"/>
                <w:sz w:val="18"/>
              </w:rPr>
              <w:t>170</w:t>
            </w:r>
          </w:p>
        </w:tc>
        <w:tc>
          <w:tcPr>
            <w:tcW w:w="903" w:type="dxa"/>
            <w:tcMar>
              <w:top w:w="65" w:type="dxa"/>
              <w:left w:w="55" w:type="dxa"/>
              <w:bottom w:w="65" w:type="dxa"/>
              <w:right w:w="55" w:type="dxa"/>
            </w:tcMar>
            <w:vAlign w:val="center"/>
          </w:tcPr>
          <w:p w14:paraId="5A6FDB8F" w14:textId="77777777" w:rsidR="00B350F7" w:rsidRPr="001A38C8" w:rsidRDefault="00000000">
            <w:pPr>
              <w:keepLines/>
              <w:spacing w:after="0" w:line="264" w:lineRule="auto"/>
              <w:rPr>
                <w:rFonts w:cs="Times New Roman"/>
              </w:rPr>
            </w:pPr>
            <w:r w:rsidRPr="001A38C8">
              <w:rPr>
                <w:rFonts w:cs="Times New Roman"/>
                <w:sz w:val="18"/>
              </w:rPr>
              <w:t>°C h</w:t>
            </w:r>
          </w:p>
        </w:tc>
        <w:tc>
          <w:tcPr>
            <w:tcW w:w="2166" w:type="dxa"/>
            <w:tcMar>
              <w:top w:w="65" w:type="dxa"/>
              <w:left w:w="55" w:type="dxa"/>
              <w:bottom w:w="65" w:type="dxa"/>
              <w:right w:w="55" w:type="dxa"/>
            </w:tcMar>
            <w:vAlign w:val="center"/>
          </w:tcPr>
          <w:p w14:paraId="1046DFC8" w14:textId="77777777" w:rsidR="00B350F7" w:rsidRPr="001A38C8" w:rsidRDefault="00000000">
            <w:pPr>
              <w:keepLines/>
              <w:spacing w:after="0" w:line="264" w:lineRule="auto"/>
              <w:rPr>
                <w:rFonts w:cs="Times New Roman"/>
              </w:rPr>
            </w:pPr>
            <w:r w:rsidRPr="001A38C8">
              <w:rPr>
                <w:rFonts w:cs="Times New Roman"/>
                <w:sz w:val="18"/>
              </w:rPr>
              <w:t>Post-release infection requirement.</w:t>
            </w:r>
          </w:p>
        </w:tc>
      </w:tr>
      <w:tr w:rsidR="00B350F7" w:rsidRPr="001A38C8" w14:paraId="4B72FE6F" w14:textId="77777777" w:rsidTr="00B350F7">
        <w:trPr>
          <w:cantSplit/>
          <w:jc w:val="center"/>
        </w:trPr>
        <w:tc>
          <w:tcPr>
            <w:tcW w:w="903" w:type="dxa"/>
            <w:tcMar>
              <w:top w:w="65" w:type="dxa"/>
              <w:left w:w="55" w:type="dxa"/>
              <w:bottom w:w="65" w:type="dxa"/>
              <w:right w:w="55" w:type="dxa"/>
            </w:tcMar>
            <w:vAlign w:val="center"/>
          </w:tcPr>
          <w:p w14:paraId="4DBDF65B" w14:textId="77777777" w:rsidR="00B350F7" w:rsidRPr="001A38C8" w:rsidRDefault="00000000">
            <w:pPr>
              <w:keepLines/>
              <w:spacing w:after="0" w:line="264" w:lineRule="auto"/>
              <w:rPr>
                <w:rFonts w:cs="Times New Roman"/>
              </w:rPr>
            </w:pPr>
            <w:r w:rsidRPr="001A38C8">
              <w:rPr>
                <w:rFonts w:cs="Times New Roman"/>
                <w:sz w:val="18"/>
              </w:rPr>
              <w:t>FSIM / FSIM-S</w:t>
            </w:r>
          </w:p>
        </w:tc>
        <w:tc>
          <w:tcPr>
            <w:tcW w:w="1805" w:type="dxa"/>
            <w:tcMar>
              <w:top w:w="65" w:type="dxa"/>
              <w:left w:w="55" w:type="dxa"/>
              <w:bottom w:w="65" w:type="dxa"/>
              <w:right w:w="55" w:type="dxa"/>
            </w:tcMar>
            <w:vAlign w:val="center"/>
          </w:tcPr>
          <w:p w14:paraId="0BA0D5E2" w14:textId="77777777" w:rsidR="00B350F7" w:rsidRPr="001A38C8" w:rsidRDefault="00000000">
            <w:pPr>
              <w:keepLines/>
              <w:spacing w:after="0" w:line="264" w:lineRule="auto"/>
              <w:rPr>
                <w:rFonts w:cs="Times New Roman"/>
              </w:rPr>
            </w:pPr>
            <w:r w:rsidRPr="001A38C8">
              <w:rPr>
                <w:rFonts w:cs="Times New Roman"/>
                <w:sz w:val="18"/>
              </w:rPr>
              <w:t>Effective deposition rainfall threshold (EDR)</w:t>
            </w:r>
          </w:p>
        </w:tc>
        <w:tc>
          <w:tcPr>
            <w:tcW w:w="1083" w:type="dxa"/>
            <w:tcMar>
              <w:top w:w="65" w:type="dxa"/>
              <w:left w:w="55" w:type="dxa"/>
              <w:bottom w:w="65" w:type="dxa"/>
              <w:right w:w="55" w:type="dxa"/>
            </w:tcMar>
            <w:vAlign w:val="center"/>
          </w:tcPr>
          <w:p w14:paraId="3439E3E4" w14:textId="77777777" w:rsidR="00B350F7" w:rsidRPr="001A38C8" w:rsidRDefault="00000000">
            <w:pPr>
              <w:keepLines/>
              <w:spacing w:after="0" w:line="264" w:lineRule="auto"/>
              <w:rPr>
                <w:rFonts w:cs="Times New Roman"/>
              </w:rPr>
            </w:pPr>
            <w:r w:rsidRPr="001A38C8">
              <w:rPr>
                <w:rFonts w:cs="Times New Roman"/>
                <w:sz w:val="18"/>
              </w:rPr>
              <w:t>3.80–3.95</w:t>
            </w:r>
          </w:p>
        </w:tc>
        <w:tc>
          <w:tcPr>
            <w:tcW w:w="1309" w:type="dxa"/>
            <w:tcMar>
              <w:top w:w="65" w:type="dxa"/>
              <w:left w:w="55" w:type="dxa"/>
              <w:bottom w:w="65" w:type="dxa"/>
              <w:right w:w="55" w:type="dxa"/>
            </w:tcMar>
            <w:vAlign w:val="center"/>
          </w:tcPr>
          <w:p w14:paraId="2BE882C9" w14:textId="77777777" w:rsidR="00B350F7" w:rsidRPr="001A38C8" w:rsidRDefault="00000000">
            <w:pPr>
              <w:keepLines/>
              <w:spacing w:after="0" w:line="264" w:lineRule="auto"/>
              <w:rPr>
                <w:rFonts w:cs="Times New Roman"/>
              </w:rPr>
            </w:pPr>
            <w:r w:rsidRPr="001A38C8">
              <w:rPr>
                <w:rFonts w:cs="Times New Roman"/>
                <w:sz w:val="18"/>
              </w:rPr>
              <w:t>0.05</w:t>
            </w:r>
          </w:p>
        </w:tc>
        <w:tc>
          <w:tcPr>
            <w:tcW w:w="857" w:type="dxa"/>
            <w:tcMar>
              <w:top w:w="65" w:type="dxa"/>
              <w:left w:w="55" w:type="dxa"/>
              <w:bottom w:w="65" w:type="dxa"/>
              <w:right w:w="55" w:type="dxa"/>
            </w:tcMar>
            <w:vAlign w:val="center"/>
          </w:tcPr>
          <w:p w14:paraId="11EE3483" w14:textId="77777777" w:rsidR="00B350F7" w:rsidRPr="001A38C8" w:rsidRDefault="00000000">
            <w:pPr>
              <w:keepLines/>
              <w:spacing w:after="0" w:line="264" w:lineRule="auto"/>
              <w:rPr>
                <w:rFonts w:cs="Times New Roman"/>
              </w:rPr>
            </w:pPr>
            <w:r w:rsidRPr="001A38C8">
              <w:rPr>
                <w:rFonts w:cs="Times New Roman"/>
                <w:sz w:val="18"/>
              </w:rPr>
              <w:t>3.85</w:t>
            </w:r>
          </w:p>
        </w:tc>
        <w:tc>
          <w:tcPr>
            <w:tcW w:w="903" w:type="dxa"/>
            <w:tcMar>
              <w:top w:w="65" w:type="dxa"/>
              <w:left w:w="55" w:type="dxa"/>
              <w:bottom w:w="65" w:type="dxa"/>
              <w:right w:w="55" w:type="dxa"/>
            </w:tcMar>
            <w:vAlign w:val="center"/>
          </w:tcPr>
          <w:p w14:paraId="7A6130BF" w14:textId="77777777" w:rsidR="00B350F7" w:rsidRPr="001A38C8" w:rsidRDefault="00000000">
            <w:pPr>
              <w:keepLines/>
              <w:spacing w:after="0" w:line="264" w:lineRule="auto"/>
              <w:rPr>
                <w:rFonts w:cs="Times New Roman"/>
              </w:rPr>
            </w:pPr>
            <w:r w:rsidRPr="001A38C8">
              <w:rPr>
                <w:rFonts w:cs="Times New Roman"/>
                <w:sz w:val="18"/>
              </w:rPr>
              <w:t>mm h</w:t>
            </w:r>
            <w:r w:rsidRPr="001A38C8">
              <w:rPr>
                <w:rFonts w:cs="Times New Roman"/>
                <w:sz w:val="18"/>
                <w:vertAlign w:val="superscript"/>
              </w:rPr>
              <w:t>-1</w:t>
            </w:r>
          </w:p>
        </w:tc>
        <w:tc>
          <w:tcPr>
            <w:tcW w:w="2166" w:type="dxa"/>
            <w:tcMar>
              <w:top w:w="65" w:type="dxa"/>
              <w:left w:w="55" w:type="dxa"/>
              <w:bottom w:w="65" w:type="dxa"/>
              <w:right w:w="55" w:type="dxa"/>
            </w:tcMar>
            <w:vAlign w:val="center"/>
          </w:tcPr>
          <w:p w14:paraId="7D980133" w14:textId="77777777" w:rsidR="00B350F7" w:rsidRPr="001A38C8" w:rsidRDefault="00000000">
            <w:pPr>
              <w:keepLines/>
              <w:spacing w:after="0" w:line="264" w:lineRule="auto"/>
              <w:rPr>
                <w:rFonts w:cs="Times New Roman"/>
              </w:rPr>
            </w:pPr>
            <w:r w:rsidRPr="001A38C8">
              <w:rPr>
                <w:rFonts w:cs="Times New Roman"/>
                <w:sz w:val="18"/>
              </w:rPr>
              <w:t>Minimum rainfall for effective deposition.</w:t>
            </w:r>
          </w:p>
        </w:tc>
      </w:tr>
      <w:tr w:rsidR="00B350F7" w:rsidRPr="001A38C8" w14:paraId="4B90A838" w14:textId="77777777" w:rsidTr="00B350F7">
        <w:trPr>
          <w:cantSplit/>
          <w:jc w:val="center"/>
        </w:trPr>
        <w:tc>
          <w:tcPr>
            <w:tcW w:w="903" w:type="dxa"/>
            <w:tcMar>
              <w:top w:w="65" w:type="dxa"/>
              <w:left w:w="55" w:type="dxa"/>
              <w:bottom w:w="65" w:type="dxa"/>
              <w:right w:w="55" w:type="dxa"/>
            </w:tcMar>
            <w:vAlign w:val="center"/>
          </w:tcPr>
          <w:p w14:paraId="1597BA60" w14:textId="77777777" w:rsidR="00B350F7" w:rsidRPr="001A38C8" w:rsidRDefault="00000000">
            <w:pPr>
              <w:keepLines/>
              <w:spacing w:after="0" w:line="264" w:lineRule="auto"/>
              <w:rPr>
                <w:rFonts w:cs="Times New Roman"/>
              </w:rPr>
            </w:pPr>
            <w:r w:rsidRPr="001A38C8">
              <w:rPr>
                <w:rFonts w:cs="Times New Roman"/>
                <w:sz w:val="18"/>
              </w:rPr>
              <w:t>FSIM / FSIM-S</w:t>
            </w:r>
          </w:p>
        </w:tc>
        <w:tc>
          <w:tcPr>
            <w:tcW w:w="1805" w:type="dxa"/>
            <w:tcMar>
              <w:top w:w="65" w:type="dxa"/>
              <w:left w:w="55" w:type="dxa"/>
              <w:bottom w:w="65" w:type="dxa"/>
              <w:right w:w="55" w:type="dxa"/>
            </w:tcMar>
            <w:vAlign w:val="center"/>
          </w:tcPr>
          <w:p w14:paraId="78D5A460" w14:textId="77777777" w:rsidR="00B350F7" w:rsidRPr="001A38C8" w:rsidRDefault="00000000">
            <w:pPr>
              <w:keepLines/>
              <w:spacing w:after="0" w:line="264" w:lineRule="auto"/>
              <w:rPr>
                <w:rFonts w:cs="Times New Roman"/>
              </w:rPr>
            </w:pPr>
            <w:r w:rsidRPr="001A38C8">
              <w:rPr>
                <w:rFonts w:cs="Times New Roman"/>
                <w:sz w:val="18"/>
              </w:rPr>
              <w:t>Sporulation relative-humidity threshold (SRH)</w:t>
            </w:r>
          </w:p>
        </w:tc>
        <w:tc>
          <w:tcPr>
            <w:tcW w:w="1083" w:type="dxa"/>
            <w:tcMar>
              <w:top w:w="65" w:type="dxa"/>
              <w:left w:w="55" w:type="dxa"/>
              <w:bottom w:w="65" w:type="dxa"/>
              <w:right w:w="55" w:type="dxa"/>
            </w:tcMar>
            <w:vAlign w:val="center"/>
          </w:tcPr>
          <w:p w14:paraId="370FFD39" w14:textId="77777777" w:rsidR="00B350F7" w:rsidRPr="001A38C8" w:rsidRDefault="00000000">
            <w:pPr>
              <w:keepLines/>
              <w:spacing w:after="0" w:line="264" w:lineRule="auto"/>
              <w:rPr>
                <w:rFonts w:cs="Times New Roman"/>
              </w:rPr>
            </w:pPr>
            <w:r w:rsidRPr="001A38C8">
              <w:rPr>
                <w:rFonts w:cs="Times New Roman"/>
                <w:sz w:val="18"/>
              </w:rPr>
              <w:t>80–100</w:t>
            </w:r>
          </w:p>
        </w:tc>
        <w:tc>
          <w:tcPr>
            <w:tcW w:w="1309" w:type="dxa"/>
            <w:tcMar>
              <w:top w:w="65" w:type="dxa"/>
              <w:left w:w="55" w:type="dxa"/>
              <w:bottom w:w="65" w:type="dxa"/>
              <w:right w:w="55" w:type="dxa"/>
            </w:tcMar>
            <w:vAlign w:val="center"/>
          </w:tcPr>
          <w:p w14:paraId="7B724168" w14:textId="77777777" w:rsidR="00B350F7" w:rsidRPr="001A38C8" w:rsidRDefault="00000000">
            <w:pPr>
              <w:keepLines/>
              <w:spacing w:after="0" w:line="264" w:lineRule="auto"/>
              <w:rPr>
                <w:rFonts w:cs="Times New Roman"/>
              </w:rPr>
            </w:pPr>
            <w:r w:rsidRPr="001A38C8">
              <w:rPr>
                <w:rFonts w:cs="Times New Roman"/>
                <w:sz w:val="18"/>
              </w:rPr>
              <w:t>5</w:t>
            </w:r>
          </w:p>
        </w:tc>
        <w:tc>
          <w:tcPr>
            <w:tcW w:w="857" w:type="dxa"/>
            <w:tcMar>
              <w:top w:w="65" w:type="dxa"/>
              <w:left w:w="55" w:type="dxa"/>
              <w:bottom w:w="65" w:type="dxa"/>
              <w:right w:w="55" w:type="dxa"/>
            </w:tcMar>
            <w:vAlign w:val="center"/>
          </w:tcPr>
          <w:p w14:paraId="69441A7B" w14:textId="77777777" w:rsidR="00B350F7" w:rsidRPr="001A38C8" w:rsidRDefault="00000000">
            <w:pPr>
              <w:keepLines/>
              <w:spacing w:after="0" w:line="264" w:lineRule="auto"/>
              <w:rPr>
                <w:rFonts w:cs="Times New Roman"/>
              </w:rPr>
            </w:pPr>
            <w:r w:rsidRPr="001A38C8">
              <w:rPr>
                <w:rFonts w:cs="Times New Roman"/>
                <w:sz w:val="18"/>
              </w:rPr>
              <w:t>85</w:t>
            </w:r>
          </w:p>
        </w:tc>
        <w:tc>
          <w:tcPr>
            <w:tcW w:w="903" w:type="dxa"/>
            <w:tcMar>
              <w:top w:w="65" w:type="dxa"/>
              <w:left w:w="55" w:type="dxa"/>
              <w:bottom w:w="65" w:type="dxa"/>
              <w:right w:w="55" w:type="dxa"/>
            </w:tcMar>
            <w:vAlign w:val="center"/>
          </w:tcPr>
          <w:p w14:paraId="74B8C981" w14:textId="77777777" w:rsidR="00B350F7" w:rsidRPr="001A38C8" w:rsidRDefault="00000000">
            <w:pPr>
              <w:keepLines/>
              <w:spacing w:after="0" w:line="264" w:lineRule="auto"/>
              <w:rPr>
                <w:rFonts w:cs="Times New Roman"/>
              </w:rPr>
            </w:pPr>
            <w:r w:rsidRPr="001A38C8">
              <w:rPr>
                <w:rFonts w:cs="Times New Roman"/>
                <w:sz w:val="18"/>
              </w:rPr>
              <w:t>%</w:t>
            </w:r>
          </w:p>
        </w:tc>
        <w:tc>
          <w:tcPr>
            <w:tcW w:w="2166" w:type="dxa"/>
            <w:tcMar>
              <w:top w:w="65" w:type="dxa"/>
              <w:left w:w="55" w:type="dxa"/>
              <w:bottom w:w="65" w:type="dxa"/>
              <w:right w:w="55" w:type="dxa"/>
            </w:tcMar>
            <w:vAlign w:val="center"/>
          </w:tcPr>
          <w:p w14:paraId="70175E7C" w14:textId="77777777" w:rsidR="00B350F7" w:rsidRPr="001A38C8" w:rsidRDefault="00000000">
            <w:pPr>
              <w:keepLines/>
              <w:spacing w:after="0" w:line="264" w:lineRule="auto"/>
              <w:rPr>
                <w:rFonts w:cs="Times New Roman"/>
              </w:rPr>
            </w:pPr>
            <w:r w:rsidRPr="001A38C8">
              <w:rPr>
                <w:rFonts w:cs="Times New Roman"/>
                <w:sz w:val="18"/>
              </w:rPr>
              <w:t>Minimum relative humidity for sporulation initiation.</w:t>
            </w:r>
          </w:p>
        </w:tc>
      </w:tr>
      <w:tr w:rsidR="00B350F7" w:rsidRPr="001A38C8" w14:paraId="0A3233F4" w14:textId="77777777" w:rsidTr="00B350F7">
        <w:trPr>
          <w:cantSplit/>
          <w:jc w:val="center"/>
        </w:trPr>
        <w:tc>
          <w:tcPr>
            <w:tcW w:w="903" w:type="dxa"/>
            <w:tcMar>
              <w:top w:w="65" w:type="dxa"/>
              <w:left w:w="55" w:type="dxa"/>
              <w:bottom w:w="65" w:type="dxa"/>
              <w:right w:w="55" w:type="dxa"/>
            </w:tcMar>
            <w:vAlign w:val="center"/>
          </w:tcPr>
          <w:p w14:paraId="079238D9" w14:textId="77777777" w:rsidR="00B350F7" w:rsidRPr="001A38C8" w:rsidRDefault="00000000">
            <w:pPr>
              <w:keepLines/>
              <w:spacing w:after="0" w:line="264" w:lineRule="auto"/>
              <w:rPr>
                <w:rFonts w:cs="Times New Roman"/>
              </w:rPr>
            </w:pPr>
            <w:r w:rsidRPr="001A38C8">
              <w:rPr>
                <w:rFonts w:cs="Times New Roman"/>
                <w:sz w:val="18"/>
              </w:rPr>
              <w:t>FSIM-S</w:t>
            </w:r>
          </w:p>
        </w:tc>
        <w:tc>
          <w:tcPr>
            <w:tcW w:w="1805" w:type="dxa"/>
            <w:tcMar>
              <w:top w:w="65" w:type="dxa"/>
              <w:left w:w="55" w:type="dxa"/>
              <w:bottom w:w="65" w:type="dxa"/>
              <w:right w:w="55" w:type="dxa"/>
            </w:tcMar>
            <w:vAlign w:val="center"/>
          </w:tcPr>
          <w:p w14:paraId="0F9BA1C5" w14:textId="77777777" w:rsidR="00B350F7" w:rsidRPr="001A38C8" w:rsidRDefault="00000000">
            <w:pPr>
              <w:keepLines/>
              <w:spacing w:after="0" w:line="264" w:lineRule="auto"/>
              <w:rPr>
                <w:rFonts w:cs="Times New Roman"/>
              </w:rPr>
            </w:pPr>
            <w:r w:rsidRPr="001A38C8">
              <w:rPr>
                <w:rFonts w:cs="Times New Roman"/>
                <w:sz w:val="18"/>
              </w:rPr>
              <w:t>Relative spore-pressure coefficient (</w:t>
            </w:r>
            <m:oMath>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sp</m:t>
                  </m:r>
                </m:sub>
              </m:sSub>
            </m:oMath>
            <w:r w:rsidRPr="001A38C8">
              <w:rPr>
                <w:rFonts w:cs="Times New Roman"/>
                <w:sz w:val="18"/>
              </w:rPr>
              <w:t>)</w:t>
            </w:r>
          </w:p>
        </w:tc>
        <w:tc>
          <w:tcPr>
            <w:tcW w:w="1083" w:type="dxa"/>
            <w:tcMar>
              <w:top w:w="65" w:type="dxa"/>
              <w:left w:w="55" w:type="dxa"/>
              <w:bottom w:w="65" w:type="dxa"/>
              <w:right w:w="55" w:type="dxa"/>
            </w:tcMar>
            <w:vAlign w:val="center"/>
          </w:tcPr>
          <w:p w14:paraId="6099BA3D" w14:textId="77777777" w:rsidR="00B350F7" w:rsidRPr="001A38C8" w:rsidRDefault="00000000">
            <w:pPr>
              <w:keepLines/>
              <w:spacing w:after="0" w:line="264" w:lineRule="auto"/>
              <w:rPr>
                <w:rFonts w:cs="Times New Roman"/>
              </w:rPr>
            </w:pPr>
            <w:r w:rsidRPr="001A38C8">
              <w:rPr>
                <w:rFonts w:cs="Times New Roman"/>
                <w:sz w:val="18"/>
              </w:rPr>
              <w:t>0–1</w:t>
            </w:r>
          </w:p>
        </w:tc>
        <w:tc>
          <w:tcPr>
            <w:tcW w:w="1309" w:type="dxa"/>
            <w:tcMar>
              <w:top w:w="65" w:type="dxa"/>
              <w:left w:w="55" w:type="dxa"/>
              <w:bottom w:w="65" w:type="dxa"/>
              <w:right w:w="55" w:type="dxa"/>
            </w:tcMar>
            <w:vAlign w:val="center"/>
          </w:tcPr>
          <w:p w14:paraId="048A8E6E" w14:textId="77777777" w:rsidR="00B350F7" w:rsidRPr="001A38C8" w:rsidRDefault="00000000">
            <w:pPr>
              <w:keepLines/>
              <w:spacing w:after="0" w:line="264" w:lineRule="auto"/>
              <w:rPr>
                <w:rFonts w:cs="Times New Roman"/>
              </w:rPr>
            </w:pPr>
            <w:r w:rsidRPr="001A38C8">
              <w:rPr>
                <w:rFonts w:cs="Times New Roman"/>
                <w:sz w:val="18"/>
              </w:rPr>
              <w:t>Nonuniform candidates</w:t>
            </w:r>
          </w:p>
        </w:tc>
        <w:tc>
          <w:tcPr>
            <w:tcW w:w="857" w:type="dxa"/>
            <w:tcMar>
              <w:top w:w="65" w:type="dxa"/>
              <w:left w:w="55" w:type="dxa"/>
              <w:bottom w:w="65" w:type="dxa"/>
              <w:right w:w="55" w:type="dxa"/>
            </w:tcMar>
            <w:vAlign w:val="center"/>
          </w:tcPr>
          <w:p w14:paraId="5286C463" w14:textId="77777777" w:rsidR="00B350F7" w:rsidRPr="001A38C8" w:rsidRDefault="00000000">
            <w:pPr>
              <w:keepLines/>
              <w:spacing w:after="0" w:line="264" w:lineRule="auto"/>
              <w:rPr>
                <w:rFonts w:cs="Times New Roman"/>
              </w:rPr>
            </w:pPr>
            <w:r w:rsidRPr="001A38C8">
              <w:rPr>
                <w:rFonts w:cs="Times New Roman"/>
                <w:sz w:val="18"/>
              </w:rPr>
              <w:t>0.005</w:t>
            </w:r>
          </w:p>
        </w:tc>
        <w:tc>
          <w:tcPr>
            <w:tcW w:w="903" w:type="dxa"/>
            <w:tcMar>
              <w:top w:w="65" w:type="dxa"/>
              <w:left w:w="55" w:type="dxa"/>
              <w:bottom w:w="65" w:type="dxa"/>
              <w:right w:w="55" w:type="dxa"/>
            </w:tcMar>
            <w:vAlign w:val="center"/>
          </w:tcPr>
          <w:p w14:paraId="1728ED2C" w14:textId="77777777" w:rsidR="00B350F7" w:rsidRPr="001A38C8" w:rsidRDefault="00000000">
            <w:pPr>
              <w:keepLines/>
              <w:spacing w:after="0" w:line="264" w:lineRule="auto"/>
              <w:rPr>
                <w:rFonts w:cs="Times New Roman"/>
              </w:rPr>
            </w:pPr>
            <w:r w:rsidRPr="001A38C8">
              <w:rPr>
                <w:rFonts w:cs="Times New Roman"/>
                <w:sz w:val="18"/>
              </w:rPr>
              <w:t>1</w:t>
            </w:r>
          </w:p>
        </w:tc>
        <w:tc>
          <w:tcPr>
            <w:tcW w:w="2166" w:type="dxa"/>
            <w:tcMar>
              <w:top w:w="65" w:type="dxa"/>
              <w:left w:w="55" w:type="dxa"/>
              <w:bottom w:w="65" w:type="dxa"/>
              <w:right w:w="55" w:type="dxa"/>
            </w:tcMar>
            <w:vAlign w:val="center"/>
          </w:tcPr>
          <w:p w14:paraId="181F7758" w14:textId="77777777" w:rsidR="00B350F7" w:rsidRPr="001A38C8" w:rsidRDefault="00000000">
            <w:pPr>
              <w:keepLines/>
              <w:spacing w:after="0" w:line="264" w:lineRule="auto"/>
              <w:rPr>
                <w:rFonts w:cs="Times New Roman"/>
              </w:rPr>
            </w:pPr>
            <w:r w:rsidRPr="001A38C8">
              <w:rPr>
                <w:rFonts w:cs="Times New Roman"/>
                <w:sz w:val="18"/>
              </w:rPr>
              <w:t>Scales the positive relative spore-pressure dose.</w:t>
            </w:r>
          </w:p>
        </w:tc>
      </w:tr>
    </w:tbl>
    <w:p w14:paraId="42FFC7F8" w14:textId="77777777" w:rsidR="00B350F7" w:rsidRPr="001A38C8" w:rsidRDefault="00000000">
      <w:pPr>
        <w:pStyle w:val="BodyText"/>
        <w:spacing w:line="276" w:lineRule="auto"/>
        <w:rPr>
          <w:rFonts w:cs="Times New Roman"/>
        </w:rPr>
      </w:pPr>
      <w:r w:rsidRPr="001A38C8">
        <w:rPr>
          <w:rFonts w:cs="Times New Roman"/>
          <w:i/>
          <w:iCs/>
          <w:sz w:val="20"/>
        </w:rPr>
        <w:t>Note: The wind-speed threshold, heavy-rain wash-off threshold and minimum moist hours were fixed based on local meteorological conditions and their effects on model structure.</w:t>
      </w:r>
    </w:p>
    <w:p w14:paraId="69A75500" w14:textId="77777777" w:rsidR="00B350F7" w:rsidRPr="001A38C8" w:rsidRDefault="00000000">
      <w:pPr>
        <w:pStyle w:val="Heading3"/>
        <w:rPr>
          <w:rFonts w:cs="Times New Roman"/>
        </w:rPr>
      </w:pPr>
      <w:bookmarkStart w:id="23" w:name="performance-metrics"/>
      <w:bookmarkEnd w:id="21"/>
      <w:r w:rsidRPr="001A38C8">
        <w:rPr>
          <w:rFonts w:cs="Times New Roman"/>
        </w:rPr>
        <w:t>2.5.2 Performance metrics</w:t>
      </w:r>
    </w:p>
    <w:p w14:paraId="5374CE05" w14:textId="77777777" w:rsidR="00B350F7" w:rsidRPr="001A38C8" w:rsidRDefault="00000000">
      <w:pPr>
        <w:pStyle w:val="FirstParagraph"/>
        <w:rPr>
          <w:rFonts w:cs="Times New Roman"/>
        </w:rPr>
      </w:pPr>
      <w:r w:rsidRPr="001A38C8">
        <w:rPr>
          <w:rFonts w:cs="Times New Roman"/>
        </w:rPr>
        <w:t xml:space="preserve">Visible disease-onset observations were interval-censored by the three-day survey schedule during the susceptible period. For site–year </w:t>
      </w:r>
      <m:oMath>
        <m:r>
          <w:rPr>
            <w:rFonts w:ascii="Cambria Math" w:hAnsi="Cambria Math" w:cs="Times New Roman"/>
          </w:rPr>
          <m:t>i</m:t>
        </m:r>
      </m:oMath>
      <w:r w:rsidRPr="001A38C8">
        <w:rPr>
          <w:rFonts w:cs="Times New Roman"/>
        </w:rPr>
        <w:t xml:space="preserve">, let </w:t>
      </w:r>
      <m:oMath>
        <m:sSubSup>
          <m:sSubSupPr>
            <m:ctrlPr>
              <w:rPr>
                <w:rFonts w:ascii="Cambria Math" w:hAnsi="Cambria Math" w:cs="Times New Roman"/>
              </w:rPr>
            </m:ctrlPr>
          </m:sSubSupPr>
          <m:e>
            <m:r>
              <w:rPr>
                <w:rFonts w:ascii="Cambria Math" w:hAnsi="Cambria Math" w:cs="Times New Roman"/>
              </w:rPr>
              <m:t>t</m:t>
            </m:r>
          </m:e>
          <m:sub>
            <m:r>
              <w:rPr>
                <w:rFonts w:ascii="Cambria Math" w:hAnsi="Cambria Math" w:cs="Times New Roman"/>
              </w:rPr>
              <m:t>i</m:t>
            </m:r>
          </m:sub>
          <m:sup>
            <m:r>
              <m:rPr>
                <m:sty m:val="p"/>
              </m:rPr>
              <w:rPr>
                <w:rFonts w:ascii="Cambria Math" w:hAnsi="Cambria Math" w:cs="Times New Roman"/>
              </w:rPr>
              <m:t>-</m:t>
            </m:r>
          </m:sup>
        </m:sSubSup>
      </m:oMath>
      <w:r w:rsidRPr="001A38C8">
        <w:rPr>
          <w:rFonts w:cs="Times New Roman"/>
        </w:rPr>
        <w:t xml:space="preserve"> be the last disease-negative survey date and </w:t>
      </w:r>
      <m:oMath>
        <m:sSubSup>
          <m:sSubSupPr>
            <m:ctrlPr>
              <w:rPr>
                <w:rFonts w:ascii="Cambria Math" w:hAnsi="Cambria Math" w:cs="Times New Roman"/>
              </w:rPr>
            </m:ctrlPr>
          </m:sSubSupPr>
          <m:e>
            <m:r>
              <w:rPr>
                <w:rFonts w:ascii="Cambria Math" w:hAnsi="Cambria Math" w:cs="Times New Roman"/>
              </w:rPr>
              <m:t>t</m:t>
            </m:r>
          </m:e>
          <m:sub>
            <m:r>
              <w:rPr>
                <w:rFonts w:ascii="Cambria Math" w:hAnsi="Cambria Math" w:cs="Times New Roman"/>
              </w:rPr>
              <m:t>i</m:t>
            </m:r>
          </m:sub>
          <m:sup>
            <m:r>
              <m:rPr>
                <m:sty m:val="p"/>
              </m:rPr>
              <w:rPr>
                <w:rFonts w:ascii="Cambria Math" w:hAnsi="Cambria Math" w:cs="Times New Roman"/>
              </w:rPr>
              <m:t>+</m:t>
            </m:r>
          </m:sup>
        </m:sSubSup>
      </m:oMath>
      <w:r w:rsidRPr="001A38C8">
        <w:rPr>
          <w:rFonts w:cs="Times New Roman"/>
        </w:rPr>
        <w:t xml:space="preserve"> the first disease-positive date, defining </w:t>
      </w:r>
      <m:oMath>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t</m:t>
            </m:r>
          </m:e>
          <m:sub>
            <m:r>
              <w:rPr>
                <w:rFonts w:ascii="Cambria Math" w:hAnsi="Cambria Math" w:cs="Times New Roman"/>
              </w:rPr>
              <m:t>i</m:t>
            </m:r>
          </m:sub>
          <m:sup>
            <m:r>
              <m:rPr>
                <m:sty m:val="p"/>
              </m:rPr>
              <w:rPr>
                <w:rFonts w:ascii="Cambria Math" w:hAnsi="Cambria Math" w:cs="Times New Roman"/>
              </w:rPr>
              <m:t>-</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t</m:t>
            </m:r>
          </m:e>
          <m:sub>
            <m:r>
              <w:rPr>
                <w:rFonts w:ascii="Cambria Math" w:hAnsi="Cambria Math" w:cs="Times New Roman"/>
              </w:rPr>
              <m:t>i</m:t>
            </m:r>
          </m:sub>
          <m:sup>
            <m:r>
              <m:rPr>
                <m:sty m:val="p"/>
              </m:rPr>
              <w:rPr>
                <w:rFonts w:ascii="Cambria Math" w:hAnsi="Cambria Math" w:cs="Times New Roman"/>
              </w:rPr>
              <m:t>+</m:t>
            </m:r>
          </m:sup>
        </m:sSubSup>
        <m:r>
          <m:rPr>
            <m:sty m:val="p"/>
          </m:rPr>
          <w:rPr>
            <w:rFonts w:ascii="Cambria Math" w:hAnsi="Cambria Math" w:cs="Times New Roman"/>
          </w:rPr>
          <m:t>]</m:t>
        </m:r>
      </m:oMath>
      <w:r w:rsidRPr="001A38C8">
        <w:rPr>
          <w:rFonts w:cs="Times New Roman"/>
        </w:rPr>
        <w:t xml:space="preserve"> with </w:t>
      </w:r>
      <m:oMath>
        <m:sSubSup>
          <m:sSubSupPr>
            <m:ctrlPr>
              <w:rPr>
                <w:rFonts w:ascii="Cambria Math" w:hAnsi="Cambria Math" w:cs="Times New Roman"/>
              </w:rPr>
            </m:ctrlPr>
          </m:sSubSupPr>
          <m:e>
            <m:r>
              <w:rPr>
                <w:rFonts w:ascii="Cambria Math" w:hAnsi="Cambria Math" w:cs="Times New Roman"/>
              </w:rPr>
              <m:t>t</m:t>
            </m:r>
          </m:e>
          <m:sub>
            <m:r>
              <w:rPr>
                <w:rFonts w:ascii="Cambria Math" w:hAnsi="Cambria Math" w:cs="Times New Roman"/>
              </w:rPr>
              <m:t>i</m:t>
            </m:r>
          </m:sub>
          <m:sup>
            <m:r>
              <m:rPr>
                <m:sty m:val="p"/>
              </m:rPr>
              <w:rPr>
                <w:rFonts w:ascii="Cambria Math" w:hAnsi="Cambria Math" w:cs="Times New Roman"/>
              </w:rPr>
              <m:t>-</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t</m:t>
            </m:r>
          </m:e>
          <m:sub>
            <m:r>
              <w:rPr>
                <w:rFonts w:ascii="Cambria Math" w:hAnsi="Cambria Math" w:cs="Times New Roman"/>
              </w:rPr>
              <m:t>i</m:t>
            </m:r>
          </m:sub>
          <m:sup>
            <m:r>
              <m:rPr>
                <m:sty m:val="p"/>
              </m:rPr>
              <w:rPr>
                <w:rFonts w:ascii="Cambria Math" w:hAnsi="Cambria Math" w:cs="Times New Roman"/>
              </w:rPr>
              <m:t>+</m:t>
            </m:r>
          </m:sup>
        </m:sSubSup>
        <m:r>
          <m:rPr>
            <m:sty m:val="p"/>
          </m:rPr>
          <w:rPr>
            <w:rFonts w:ascii="Cambria Math" w:hAnsi="Cambria Math" w:cs="Times New Roman"/>
          </w:rPr>
          <m:t>-</m:t>
        </m:r>
        <m:r>
          <w:rPr>
            <w:rFonts w:ascii="Cambria Math" w:hAnsi="Cambria Math" w:cs="Times New Roman"/>
          </w:rPr>
          <m:t>3 </m:t>
        </m:r>
        <m:r>
          <m:rPr>
            <m:sty m:val="p"/>
          </m:rPr>
          <w:rPr>
            <w:rFonts w:ascii="Cambria Math" w:hAnsi="Cambria Math" w:cs="Times New Roman"/>
          </w:rPr>
          <m:t>d</m:t>
        </m:r>
      </m:oMath>
      <w:r w:rsidRPr="001A38C8">
        <w:rPr>
          <w:rFonts w:cs="Times New Roman"/>
        </w:rPr>
        <w:t xml:space="preserve">. For the first complete simulated window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O</m:t>
                </m:r>
              </m:e>
            </m:acc>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t</m:t>
                </m:r>
              </m:e>
            </m:acc>
          </m:e>
          <m:sub>
            <m:r>
              <w:rPr>
                <w:rFonts w:ascii="Cambria Math" w:hAnsi="Cambria Math" w:cs="Times New Roman"/>
              </w:rPr>
              <m:t>i</m:t>
            </m:r>
          </m:sub>
          <m:sup>
            <m:r>
              <m:rPr>
                <m:sty m:val="p"/>
              </m:rPr>
              <w:rPr>
                <w:rFonts w:ascii="Cambria Math" w:hAnsi="Cambria Math" w:cs="Times New Roman"/>
              </w:rPr>
              <m:t>-</m:t>
            </m:r>
          </m:sup>
        </m:sSubSup>
        <m:r>
          <m:rPr>
            <m:sty m:val="p"/>
          </m:rPr>
          <w:rPr>
            <w:rFonts w:ascii="Cambria Math" w:hAnsi="Cambria Math" w:cs="Times New Roman"/>
          </w:rPr>
          <m:t>,</m:t>
        </m:r>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t</m:t>
                </m:r>
              </m:e>
            </m:acc>
          </m:e>
          <m:sub>
            <m:r>
              <w:rPr>
                <w:rFonts w:ascii="Cambria Math" w:hAnsi="Cambria Math" w:cs="Times New Roman"/>
              </w:rPr>
              <m:t>i</m:t>
            </m:r>
          </m:sub>
          <m:sup>
            <m:r>
              <m:rPr>
                <m:sty m:val="p"/>
              </m:rPr>
              <w:rPr>
                <w:rFonts w:ascii="Cambria Math" w:hAnsi="Cambria Math" w:cs="Times New Roman"/>
              </w:rPr>
              <m:t>+</m:t>
            </m:r>
          </m:sup>
        </m:sSubSup>
        <m:r>
          <m:rPr>
            <m:sty m:val="p"/>
          </m:rPr>
          <w:rPr>
            <w:rFonts w:ascii="Cambria Math" w:hAnsi="Cambria Math" w:cs="Times New Roman"/>
          </w:rPr>
          <m:t>]</m:t>
        </m:r>
      </m:oMath>
      <w:r w:rsidRPr="001A38C8">
        <w:rPr>
          <w:rFonts w:cs="Times New Roman"/>
        </w:rPr>
        <w:t>, signed error was</w:t>
      </w:r>
    </w:p>
    <w:p w14:paraId="43107AAC" w14:textId="77777777" w:rsidR="00B350F7" w:rsidRPr="001A38C8" w:rsidRDefault="00000000">
      <w:pPr>
        <w:pStyle w:val="BodyText"/>
        <w:keepLines/>
        <w:tabs>
          <w:tab w:val="center" w:pos="4464"/>
          <w:tab w:val="right" w:pos="8928"/>
        </w:tabs>
        <w:spacing w:before="160" w:after="160" w:line="288" w:lineRule="auto"/>
        <w:rPr>
          <w:rFonts w:cs="Times New Roman"/>
        </w:rPr>
      </w:pPr>
      <w:r w:rsidRPr="001A38C8">
        <w:rPr>
          <w:rFonts w:cs="Times New Roman"/>
        </w:rPr>
        <w:tab/>
      </w:r>
      <m:oMath>
        <m:sSub>
          <m:sSubPr>
            <m:ctrlPr>
              <w:rPr>
                <w:rFonts w:ascii="Cambria Math" w:hAnsi="Cambria Math" w:cs="Times New Roman"/>
              </w:rPr>
            </m:ctrlPr>
          </m:sSubPr>
          <m:e>
            <m:r>
              <w:rPr>
                <w:rFonts w:ascii="Cambria Math" w:hAnsi="Cambria Math" w:cs="Times New Roman"/>
                <w:sz w:val="22"/>
              </w:rPr>
              <m:t>e</m:t>
            </m:r>
          </m:e>
          <m:sub>
            <m:r>
              <w:rPr>
                <w:rFonts w:ascii="Cambria Math" w:hAnsi="Cambria Math" w:cs="Times New Roman"/>
                <w:sz w:val="22"/>
              </w:rPr>
              <m:t>i</m:t>
            </m:r>
          </m:sub>
        </m:sSub>
        <m:r>
          <m:rPr>
            <m:sty m:val="p"/>
          </m:rPr>
          <w:rPr>
            <w:rFonts w:ascii="Cambria Math" w:hAnsi="Cambria Math" w:cs="Times New Roman"/>
            <w:sz w:val="22"/>
          </w:rPr>
          <m:t>=</m:t>
        </m:r>
        <m:d>
          <m:dPr>
            <m:begChr m:val="{"/>
            <m:endChr m:val=""/>
            <m:ctrlPr>
              <w:rPr>
                <w:rFonts w:ascii="Cambria Math" w:hAnsi="Cambria Math" w:cs="Times New Roman"/>
              </w:rPr>
            </m:ctrlPr>
          </m:dPr>
          <m:e>
            <m:m>
              <m:mPr>
                <m:plcHide m:val="1"/>
                <m:mcs>
                  <m:mc>
                    <m:mcPr>
                      <m:count m:val="2"/>
                      <m:mcJc m:val="left"/>
                    </m:mcPr>
                  </m:mc>
                </m:mcs>
                <m:ctrlPr>
                  <w:rPr>
                    <w:rFonts w:ascii="Cambria Math" w:hAnsi="Cambria Math" w:cs="Times New Roman"/>
                  </w:rPr>
                </m:ctrlPr>
              </m:mPr>
              <m:mr>
                <m:e>
                  <m:r>
                    <w:rPr>
                      <w:rFonts w:ascii="Cambria Math" w:hAnsi="Cambria Math" w:cs="Times New Roman"/>
                      <w:sz w:val="22"/>
                    </w:rPr>
                    <m:t>0</m:t>
                  </m:r>
                  <m:r>
                    <m:rPr>
                      <m:sty m:val="p"/>
                    </m:rPr>
                    <w:rPr>
                      <w:rFonts w:ascii="Cambria Math" w:hAnsi="Cambria Math" w:cs="Times New Roman"/>
                      <w:sz w:val="22"/>
                    </w:rPr>
                    <m:t>,</m:t>
                  </m:r>
                </m:e>
                <m:e>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sz w:val="22"/>
                            </w:rPr>
                            <m:t>t</m:t>
                          </m:r>
                        </m:e>
                      </m:acc>
                    </m:e>
                    <m:sub>
                      <m:r>
                        <w:rPr>
                          <w:rFonts w:ascii="Cambria Math" w:hAnsi="Cambria Math" w:cs="Times New Roman"/>
                          <w:sz w:val="22"/>
                        </w:rPr>
                        <m:t>i</m:t>
                      </m:r>
                    </m:sub>
                    <m:sup>
                      <m:r>
                        <m:rPr>
                          <m:sty m:val="p"/>
                        </m:rPr>
                        <w:rPr>
                          <w:rFonts w:ascii="Cambria Math" w:hAnsi="Cambria Math" w:cs="Times New Roman"/>
                          <w:sz w:val="22"/>
                        </w:rPr>
                        <m:t>-</m:t>
                      </m:r>
                    </m:sup>
                  </m:sSubSup>
                  <m:r>
                    <m:rPr>
                      <m:sty m:val="p"/>
                    </m:rPr>
                    <w:rPr>
                      <w:rFonts w:ascii="Cambria Math" w:hAnsi="Cambria Math" w:cs="Times New Roman"/>
                      <w:sz w:val="22"/>
                    </w:rPr>
                    <m:t>≤</m:t>
                  </m:r>
                  <m:sSubSup>
                    <m:sSubSupPr>
                      <m:ctrlPr>
                        <w:rPr>
                          <w:rFonts w:ascii="Cambria Math" w:hAnsi="Cambria Math" w:cs="Times New Roman"/>
                        </w:rPr>
                      </m:ctrlPr>
                    </m:sSubSupPr>
                    <m:e>
                      <m:r>
                        <w:rPr>
                          <w:rFonts w:ascii="Cambria Math" w:hAnsi="Cambria Math" w:cs="Times New Roman"/>
                          <w:sz w:val="22"/>
                        </w:rPr>
                        <m:t>t</m:t>
                      </m:r>
                    </m:e>
                    <m:sub>
                      <m:r>
                        <w:rPr>
                          <w:rFonts w:ascii="Cambria Math" w:hAnsi="Cambria Math" w:cs="Times New Roman"/>
                          <w:sz w:val="22"/>
                        </w:rPr>
                        <m:t>i</m:t>
                      </m:r>
                    </m:sub>
                    <m:sup>
                      <m:r>
                        <m:rPr>
                          <m:sty m:val="p"/>
                        </m:rPr>
                        <w:rPr>
                          <w:rFonts w:ascii="Cambria Math" w:hAnsi="Cambria Math" w:cs="Times New Roman"/>
                          <w:sz w:val="22"/>
                        </w:rPr>
                        <m:t>+</m:t>
                      </m:r>
                    </m:sup>
                  </m:sSubSup>
                  <m:r>
                    <w:rPr>
                      <w:rFonts w:ascii="Cambria Math" w:hAnsi="Cambria Math" w:cs="Times New Roman"/>
                      <w:sz w:val="22"/>
                    </w:rPr>
                    <m:t> </m:t>
                  </m:r>
                  <m:r>
                    <m:rPr>
                      <m:sty m:val="p"/>
                    </m:rPr>
                    <w:rPr>
                      <w:rFonts w:ascii="Cambria Math" w:hAnsi="Cambria Math" w:cs="Times New Roman"/>
                      <w:sz w:val="22"/>
                    </w:rPr>
                    <m:t>and</m:t>
                  </m:r>
                  <m:r>
                    <w:rPr>
                      <w:rFonts w:ascii="Cambria Math" w:hAnsi="Cambria Math" w:cs="Times New Roman"/>
                      <w:sz w:val="22"/>
                    </w:rPr>
                    <m:t> </m:t>
                  </m:r>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sz w:val="22"/>
                            </w:rPr>
                            <m:t>t</m:t>
                          </m:r>
                        </m:e>
                      </m:acc>
                    </m:e>
                    <m:sub>
                      <m:r>
                        <w:rPr>
                          <w:rFonts w:ascii="Cambria Math" w:hAnsi="Cambria Math" w:cs="Times New Roman"/>
                          <w:sz w:val="22"/>
                        </w:rPr>
                        <m:t>i</m:t>
                      </m:r>
                    </m:sub>
                    <m:sup>
                      <m:r>
                        <m:rPr>
                          <m:sty m:val="p"/>
                        </m:rPr>
                        <w:rPr>
                          <w:rFonts w:ascii="Cambria Math" w:hAnsi="Cambria Math" w:cs="Times New Roman"/>
                          <w:sz w:val="22"/>
                        </w:rPr>
                        <m:t>+</m:t>
                      </m:r>
                    </m:sup>
                  </m:sSubSup>
                  <m:r>
                    <m:rPr>
                      <m:sty m:val="p"/>
                    </m:rPr>
                    <w:rPr>
                      <w:rFonts w:ascii="Cambria Math" w:hAnsi="Cambria Math" w:cs="Times New Roman"/>
                      <w:sz w:val="22"/>
                    </w:rPr>
                    <m:t>≥</m:t>
                  </m:r>
                  <m:sSubSup>
                    <m:sSubSupPr>
                      <m:ctrlPr>
                        <w:rPr>
                          <w:rFonts w:ascii="Cambria Math" w:hAnsi="Cambria Math" w:cs="Times New Roman"/>
                        </w:rPr>
                      </m:ctrlPr>
                    </m:sSubSupPr>
                    <m:e>
                      <m:r>
                        <w:rPr>
                          <w:rFonts w:ascii="Cambria Math" w:hAnsi="Cambria Math" w:cs="Times New Roman"/>
                          <w:sz w:val="22"/>
                        </w:rPr>
                        <m:t>t</m:t>
                      </m:r>
                    </m:e>
                    <m:sub>
                      <m:r>
                        <w:rPr>
                          <w:rFonts w:ascii="Cambria Math" w:hAnsi="Cambria Math" w:cs="Times New Roman"/>
                          <w:sz w:val="22"/>
                        </w:rPr>
                        <m:t>i</m:t>
                      </m:r>
                    </m:sub>
                    <m:sup>
                      <m:r>
                        <m:rPr>
                          <m:sty m:val="p"/>
                        </m:rPr>
                        <w:rPr>
                          <w:rFonts w:ascii="Cambria Math" w:hAnsi="Cambria Math" w:cs="Times New Roman"/>
                          <w:sz w:val="22"/>
                        </w:rPr>
                        <m:t>-</m:t>
                      </m:r>
                    </m:sup>
                  </m:sSubSup>
                  <m:r>
                    <m:rPr>
                      <m:sty m:val="p"/>
                    </m:rPr>
                    <w:rPr>
                      <w:rFonts w:ascii="Cambria Math" w:hAnsi="Cambria Math" w:cs="Times New Roman"/>
                      <w:sz w:val="22"/>
                    </w:rPr>
                    <m:t>,</m:t>
                  </m:r>
                </m:e>
              </m:mr>
              <m:mr>
                <m:e>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sz w:val="22"/>
                            </w:rPr>
                            <m:t>t</m:t>
                          </m:r>
                        </m:e>
                      </m:acc>
                    </m:e>
                    <m:sub>
                      <m:r>
                        <w:rPr>
                          <w:rFonts w:ascii="Cambria Math" w:hAnsi="Cambria Math" w:cs="Times New Roman"/>
                          <w:sz w:val="22"/>
                        </w:rPr>
                        <m:t>i</m:t>
                      </m:r>
                    </m:sub>
                    <m:sup>
                      <m:r>
                        <m:rPr>
                          <m:sty m:val="p"/>
                        </m:rPr>
                        <w:rPr>
                          <w:rFonts w:ascii="Cambria Math" w:hAnsi="Cambria Math" w:cs="Times New Roman"/>
                          <w:sz w:val="22"/>
                        </w:rPr>
                        <m:t>-</m:t>
                      </m:r>
                    </m:sup>
                  </m:sSubSup>
                  <m:r>
                    <m:rPr>
                      <m:sty m:val="p"/>
                    </m:rPr>
                    <w:rPr>
                      <w:rFonts w:ascii="Cambria Math" w:hAnsi="Cambria Math" w:cs="Times New Roman"/>
                      <w:sz w:val="22"/>
                    </w:rPr>
                    <m:t>-</m:t>
                  </m:r>
                  <m:sSubSup>
                    <m:sSubSupPr>
                      <m:ctrlPr>
                        <w:rPr>
                          <w:rFonts w:ascii="Cambria Math" w:hAnsi="Cambria Math" w:cs="Times New Roman"/>
                        </w:rPr>
                      </m:ctrlPr>
                    </m:sSubSupPr>
                    <m:e>
                      <m:r>
                        <w:rPr>
                          <w:rFonts w:ascii="Cambria Math" w:hAnsi="Cambria Math" w:cs="Times New Roman"/>
                          <w:sz w:val="22"/>
                        </w:rPr>
                        <m:t>t</m:t>
                      </m:r>
                    </m:e>
                    <m:sub>
                      <m:r>
                        <w:rPr>
                          <w:rFonts w:ascii="Cambria Math" w:hAnsi="Cambria Math" w:cs="Times New Roman"/>
                          <w:sz w:val="22"/>
                        </w:rPr>
                        <m:t>i</m:t>
                      </m:r>
                    </m:sub>
                    <m:sup>
                      <m:r>
                        <m:rPr>
                          <m:sty m:val="p"/>
                        </m:rPr>
                        <w:rPr>
                          <w:rFonts w:ascii="Cambria Math" w:hAnsi="Cambria Math" w:cs="Times New Roman"/>
                          <w:sz w:val="22"/>
                        </w:rPr>
                        <m:t>+</m:t>
                      </m:r>
                    </m:sup>
                  </m:sSubSup>
                  <m:r>
                    <m:rPr>
                      <m:sty m:val="p"/>
                    </m:rPr>
                    <w:rPr>
                      <w:rFonts w:ascii="Cambria Math" w:hAnsi="Cambria Math" w:cs="Times New Roman"/>
                      <w:sz w:val="22"/>
                    </w:rPr>
                    <m:t>,</m:t>
                  </m:r>
                </m:e>
                <m:e>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sz w:val="22"/>
                            </w:rPr>
                            <m:t>t</m:t>
                          </m:r>
                        </m:e>
                      </m:acc>
                    </m:e>
                    <m:sub>
                      <m:r>
                        <w:rPr>
                          <w:rFonts w:ascii="Cambria Math" w:hAnsi="Cambria Math" w:cs="Times New Roman"/>
                          <w:sz w:val="22"/>
                        </w:rPr>
                        <m:t>i</m:t>
                      </m:r>
                    </m:sub>
                    <m:sup>
                      <m:r>
                        <m:rPr>
                          <m:sty m:val="p"/>
                        </m:rPr>
                        <w:rPr>
                          <w:rFonts w:ascii="Cambria Math" w:hAnsi="Cambria Math" w:cs="Times New Roman"/>
                          <w:sz w:val="22"/>
                        </w:rPr>
                        <m:t>-</m:t>
                      </m:r>
                    </m:sup>
                  </m:sSubSup>
                  <m:r>
                    <m:rPr>
                      <m:sty m:val="p"/>
                    </m:rPr>
                    <w:rPr>
                      <w:rFonts w:ascii="Cambria Math" w:hAnsi="Cambria Math" w:cs="Times New Roman"/>
                      <w:sz w:val="22"/>
                    </w:rPr>
                    <m:t>&gt;</m:t>
                  </m:r>
                  <m:sSubSup>
                    <m:sSubSupPr>
                      <m:ctrlPr>
                        <w:rPr>
                          <w:rFonts w:ascii="Cambria Math" w:hAnsi="Cambria Math" w:cs="Times New Roman"/>
                        </w:rPr>
                      </m:ctrlPr>
                    </m:sSubSupPr>
                    <m:e>
                      <m:r>
                        <w:rPr>
                          <w:rFonts w:ascii="Cambria Math" w:hAnsi="Cambria Math" w:cs="Times New Roman"/>
                          <w:sz w:val="22"/>
                        </w:rPr>
                        <m:t>t</m:t>
                      </m:r>
                    </m:e>
                    <m:sub>
                      <m:r>
                        <w:rPr>
                          <w:rFonts w:ascii="Cambria Math" w:hAnsi="Cambria Math" w:cs="Times New Roman"/>
                          <w:sz w:val="22"/>
                        </w:rPr>
                        <m:t>i</m:t>
                      </m:r>
                    </m:sub>
                    <m:sup>
                      <m:r>
                        <m:rPr>
                          <m:sty m:val="p"/>
                        </m:rPr>
                        <w:rPr>
                          <w:rFonts w:ascii="Cambria Math" w:hAnsi="Cambria Math" w:cs="Times New Roman"/>
                          <w:sz w:val="22"/>
                        </w:rPr>
                        <m:t>+</m:t>
                      </m:r>
                    </m:sup>
                  </m:sSubSup>
                  <m:r>
                    <m:rPr>
                      <m:sty m:val="p"/>
                    </m:rPr>
                    <w:rPr>
                      <w:rFonts w:ascii="Cambria Math" w:hAnsi="Cambria Math" w:cs="Times New Roman"/>
                      <w:sz w:val="22"/>
                    </w:rPr>
                    <m:t>,</m:t>
                  </m:r>
                </m:e>
              </m:mr>
              <m:mr>
                <m:e>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sz w:val="22"/>
                            </w:rPr>
                            <m:t>t</m:t>
                          </m:r>
                        </m:e>
                      </m:acc>
                    </m:e>
                    <m:sub>
                      <m:r>
                        <w:rPr>
                          <w:rFonts w:ascii="Cambria Math" w:hAnsi="Cambria Math" w:cs="Times New Roman"/>
                          <w:sz w:val="22"/>
                        </w:rPr>
                        <m:t>i</m:t>
                      </m:r>
                    </m:sub>
                    <m:sup>
                      <m:r>
                        <m:rPr>
                          <m:sty m:val="p"/>
                        </m:rPr>
                        <w:rPr>
                          <w:rFonts w:ascii="Cambria Math" w:hAnsi="Cambria Math" w:cs="Times New Roman"/>
                          <w:sz w:val="22"/>
                        </w:rPr>
                        <m:t>+</m:t>
                      </m:r>
                    </m:sup>
                  </m:sSubSup>
                  <m:r>
                    <m:rPr>
                      <m:sty m:val="p"/>
                    </m:rPr>
                    <w:rPr>
                      <w:rFonts w:ascii="Cambria Math" w:hAnsi="Cambria Math" w:cs="Times New Roman"/>
                      <w:sz w:val="22"/>
                    </w:rPr>
                    <m:t>-</m:t>
                  </m:r>
                  <m:sSubSup>
                    <m:sSubSupPr>
                      <m:ctrlPr>
                        <w:rPr>
                          <w:rFonts w:ascii="Cambria Math" w:hAnsi="Cambria Math" w:cs="Times New Roman"/>
                        </w:rPr>
                      </m:ctrlPr>
                    </m:sSubSupPr>
                    <m:e>
                      <m:r>
                        <w:rPr>
                          <w:rFonts w:ascii="Cambria Math" w:hAnsi="Cambria Math" w:cs="Times New Roman"/>
                          <w:sz w:val="22"/>
                        </w:rPr>
                        <m:t>t</m:t>
                      </m:r>
                    </m:e>
                    <m:sub>
                      <m:r>
                        <w:rPr>
                          <w:rFonts w:ascii="Cambria Math" w:hAnsi="Cambria Math" w:cs="Times New Roman"/>
                          <w:sz w:val="22"/>
                        </w:rPr>
                        <m:t>i</m:t>
                      </m:r>
                    </m:sub>
                    <m:sup>
                      <m:r>
                        <m:rPr>
                          <m:sty m:val="p"/>
                        </m:rPr>
                        <w:rPr>
                          <w:rFonts w:ascii="Cambria Math" w:hAnsi="Cambria Math" w:cs="Times New Roman"/>
                          <w:sz w:val="22"/>
                        </w:rPr>
                        <m:t>-</m:t>
                      </m:r>
                    </m:sup>
                  </m:sSubSup>
                  <m:r>
                    <m:rPr>
                      <m:sty m:val="p"/>
                    </m:rPr>
                    <w:rPr>
                      <w:rFonts w:ascii="Cambria Math" w:hAnsi="Cambria Math" w:cs="Times New Roman"/>
                      <w:sz w:val="22"/>
                    </w:rPr>
                    <m:t>,</m:t>
                  </m:r>
                </m:e>
                <m:e>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sz w:val="22"/>
                            </w:rPr>
                            <m:t>t</m:t>
                          </m:r>
                        </m:e>
                      </m:acc>
                    </m:e>
                    <m:sub>
                      <m:r>
                        <w:rPr>
                          <w:rFonts w:ascii="Cambria Math" w:hAnsi="Cambria Math" w:cs="Times New Roman"/>
                          <w:sz w:val="22"/>
                        </w:rPr>
                        <m:t>i</m:t>
                      </m:r>
                    </m:sub>
                    <m:sup>
                      <m:r>
                        <m:rPr>
                          <m:sty m:val="p"/>
                        </m:rPr>
                        <w:rPr>
                          <w:rFonts w:ascii="Cambria Math" w:hAnsi="Cambria Math" w:cs="Times New Roman"/>
                          <w:sz w:val="22"/>
                        </w:rPr>
                        <m:t>+</m:t>
                      </m:r>
                    </m:sup>
                  </m:sSubSup>
                  <m:r>
                    <m:rPr>
                      <m:sty m:val="p"/>
                    </m:rPr>
                    <w:rPr>
                      <w:rFonts w:ascii="Cambria Math" w:hAnsi="Cambria Math" w:cs="Times New Roman"/>
                      <w:sz w:val="22"/>
                    </w:rPr>
                    <m:t>&lt;</m:t>
                  </m:r>
                  <m:sSubSup>
                    <m:sSubSupPr>
                      <m:ctrlPr>
                        <w:rPr>
                          <w:rFonts w:ascii="Cambria Math" w:hAnsi="Cambria Math" w:cs="Times New Roman"/>
                        </w:rPr>
                      </m:ctrlPr>
                    </m:sSubSupPr>
                    <m:e>
                      <m:r>
                        <w:rPr>
                          <w:rFonts w:ascii="Cambria Math" w:hAnsi="Cambria Math" w:cs="Times New Roman"/>
                          <w:sz w:val="22"/>
                        </w:rPr>
                        <m:t>t</m:t>
                      </m:r>
                    </m:e>
                    <m:sub>
                      <m:r>
                        <w:rPr>
                          <w:rFonts w:ascii="Cambria Math" w:hAnsi="Cambria Math" w:cs="Times New Roman"/>
                          <w:sz w:val="22"/>
                        </w:rPr>
                        <m:t>i</m:t>
                      </m:r>
                    </m:sub>
                    <m:sup>
                      <m:r>
                        <m:rPr>
                          <m:sty m:val="p"/>
                        </m:rPr>
                        <w:rPr>
                          <w:rFonts w:ascii="Cambria Math" w:hAnsi="Cambria Math" w:cs="Times New Roman"/>
                          <w:sz w:val="22"/>
                        </w:rPr>
                        <m:t>-</m:t>
                      </m:r>
                    </m:sup>
                  </m:sSubSup>
                  <m:r>
                    <m:rPr>
                      <m:sty m:val="p"/>
                    </m:rPr>
                    <w:rPr>
                      <w:rFonts w:ascii="Cambria Math" w:hAnsi="Cambria Math" w:cs="Times New Roman"/>
                      <w:sz w:val="22"/>
                    </w:rPr>
                    <m:t>.</m:t>
                  </m:r>
                </m:e>
              </m:mr>
            </m:m>
          </m:e>
        </m:d>
      </m:oMath>
      <w:r w:rsidRPr="001A38C8">
        <w:rPr>
          <w:rFonts w:cs="Times New Roman"/>
        </w:rPr>
        <w:tab/>
        <w:t>(3)</w:t>
      </w:r>
    </w:p>
    <w:p w14:paraId="6A3EDEB1" w14:textId="77777777" w:rsidR="00B350F7" w:rsidRPr="001A38C8" w:rsidRDefault="00000000">
      <w:pPr>
        <w:pStyle w:val="FirstParagraph"/>
        <w:rPr>
          <w:rFonts w:cs="Times New Roman"/>
        </w:rPr>
      </w:pPr>
      <w:r w:rsidRPr="001A38C8">
        <w:rPr>
          <w:rFonts w:cs="Times New Roman"/>
        </w:rPr>
        <w:t xml:space="preserve">Overlapping windows have zero error; positive and negative errors denote late and early predictions. For complete predictions </w:t>
      </w:r>
      <m:oMath>
        <m:r>
          <w:rPr>
            <w:rFonts w:ascii="Cambria Math" w:hAnsi="Cambria Math" w:cs="Times New Roman"/>
          </w:rPr>
          <m:t>C</m:t>
        </m:r>
      </m:oMath>
      <w:r w:rsidRPr="001A38C8">
        <w:rPr>
          <w:rFonts w:cs="Times New Roman"/>
        </w:rPr>
        <w:t>,</w:t>
      </w:r>
    </w:p>
    <w:p w14:paraId="08F20DB6" w14:textId="77777777" w:rsidR="00B350F7" w:rsidRPr="001A38C8" w:rsidRDefault="00000000">
      <w:pPr>
        <w:pStyle w:val="BodyText"/>
        <w:keepLines/>
        <w:tabs>
          <w:tab w:val="center" w:pos="4464"/>
          <w:tab w:val="right" w:pos="8928"/>
        </w:tabs>
        <w:spacing w:before="160" w:after="160" w:line="288" w:lineRule="auto"/>
        <w:rPr>
          <w:rFonts w:cs="Times New Roman"/>
        </w:rPr>
      </w:pPr>
      <w:r w:rsidRPr="001A38C8">
        <w:rPr>
          <w:rFonts w:cs="Times New Roman"/>
        </w:rPr>
        <w:tab/>
      </w:r>
      <m:oMath>
        <m:r>
          <m:rPr>
            <m:sty m:val="p"/>
          </m:rPr>
          <w:rPr>
            <w:rFonts w:ascii="Cambria Math" w:hAnsi="Cambria Math" w:cs="Times New Roman"/>
            <w:sz w:val="22"/>
          </w:rPr>
          <m:t>MAE=</m:t>
        </m:r>
        <m:f>
          <m:fPr>
            <m:ctrlPr>
              <w:rPr>
                <w:rFonts w:ascii="Cambria Math" w:hAnsi="Cambria Math" w:cs="Times New Roman"/>
              </w:rPr>
            </m:ctrlPr>
          </m:fPr>
          <m:num>
            <m:r>
              <w:rPr>
                <w:rFonts w:ascii="Cambria Math" w:hAnsi="Cambria Math" w:cs="Times New Roman"/>
                <w:sz w:val="22"/>
              </w:rPr>
              <m:t>1</m:t>
            </m:r>
          </m:num>
          <m:den>
            <m:r>
              <m:rPr>
                <m:sty m:val="p"/>
              </m:rPr>
              <w:rPr>
                <w:rFonts w:ascii="Cambria Math" w:hAnsi="Cambria Math" w:cs="Times New Roman"/>
                <w:sz w:val="22"/>
              </w:rPr>
              <m:t>|</m:t>
            </m:r>
            <m:r>
              <w:rPr>
                <w:rFonts w:ascii="Cambria Math" w:hAnsi="Cambria Math" w:cs="Times New Roman"/>
                <w:sz w:val="22"/>
              </w:rPr>
              <m:t>C</m:t>
            </m:r>
            <m:r>
              <m:rPr>
                <m:sty m:val="p"/>
              </m:rPr>
              <w:rPr>
                <w:rFonts w:ascii="Cambria Math" w:hAnsi="Cambria Math" w:cs="Times New Roman"/>
                <w:sz w:val="22"/>
              </w:rPr>
              <m:t>|</m:t>
            </m:r>
          </m:den>
        </m:f>
        <m:nary>
          <m:naryPr>
            <m:chr m:val="∑"/>
            <m:limLoc m:val="undOvr"/>
            <m:supHide m:val="1"/>
            <m:ctrlPr>
              <w:rPr>
                <w:rFonts w:ascii="Cambria Math" w:hAnsi="Cambria Math" w:cs="Times New Roman"/>
              </w:rPr>
            </m:ctrlPr>
          </m:naryPr>
          <m:sub>
            <m:r>
              <w:rPr>
                <w:rFonts w:ascii="Cambria Math" w:hAnsi="Cambria Math" w:cs="Times New Roman"/>
                <w:sz w:val="22"/>
              </w:rPr>
              <m:t>i</m:t>
            </m:r>
            <m:r>
              <m:rPr>
                <m:sty m:val="p"/>
              </m:rPr>
              <w:rPr>
                <w:rFonts w:ascii="Cambria Math" w:hAnsi="Cambria Math" w:cs="Times New Roman"/>
                <w:sz w:val="22"/>
              </w:rPr>
              <m:t>∈</m:t>
            </m:r>
            <m:r>
              <w:rPr>
                <w:rFonts w:ascii="Cambria Math" w:hAnsi="Cambria Math" w:cs="Times New Roman"/>
                <w:sz w:val="22"/>
              </w:rPr>
              <m:t>C</m:t>
            </m:r>
          </m:sub>
          <m:sup>
            <m:r>
              <w:rPr>
                <w:rFonts w:ascii="Cambria Math" w:hAnsi="Cambria Math" w:cs="Times New Roman"/>
                <w:sz w:val="22"/>
              </w:rPr>
              <m:t>​</m:t>
            </m:r>
          </m:sup>
          <m:e>
            <m:r>
              <m:rPr>
                <m:sty m:val="p"/>
              </m:rPr>
              <w:rPr>
                <w:rFonts w:ascii="Cambria Math" w:hAnsi="Cambria Math" w:cs="Times New Roman"/>
                <w:sz w:val="22"/>
              </w:rPr>
              <m:t>|</m:t>
            </m:r>
          </m:e>
        </m:nary>
        <m:sSub>
          <m:sSubPr>
            <m:ctrlPr>
              <w:rPr>
                <w:rFonts w:ascii="Cambria Math" w:hAnsi="Cambria Math" w:cs="Times New Roman"/>
              </w:rPr>
            </m:ctrlPr>
          </m:sSubPr>
          <m:e>
            <m:r>
              <w:rPr>
                <w:rFonts w:ascii="Cambria Math" w:hAnsi="Cambria Math" w:cs="Times New Roman"/>
                <w:sz w:val="22"/>
              </w:rPr>
              <m:t>e</m:t>
            </m:r>
          </m:e>
          <m:sub>
            <m:r>
              <w:rPr>
                <w:rFonts w:ascii="Cambria Math" w:hAnsi="Cambria Math" w:cs="Times New Roman"/>
                <w:sz w:val="22"/>
              </w:rPr>
              <m:t>i</m:t>
            </m:r>
          </m:sub>
        </m:sSub>
        <m:r>
          <m:rPr>
            <m:sty m:val="p"/>
          </m:rPr>
          <w:rPr>
            <w:rFonts w:ascii="Cambria Math" w:hAnsi="Cambria Math" w:cs="Times New Roman"/>
            <w:sz w:val="22"/>
          </w:rPr>
          <m:t>|,</m:t>
        </m:r>
        <m:r>
          <w:rPr>
            <w:rFonts w:ascii="Cambria Math" w:hAnsi="Cambria Math" w:cs="Times New Roman"/>
            <w:sz w:val="22"/>
          </w:rPr>
          <m:t>  </m:t>
        </m:r>
        <m:r>
          <m:rPr>
            <m:sty m:val="p"/>
          </m:rPr>
          <w:rPr>
            <w:rFonts w:ascii="Cambria Math" w:hAnsi="Cambria Math" w:cs="Times New Roman"/>
            <w:sz w:val="22"/>
          </w:rPr>
          <m:t>RMSE=</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sz w:val="22"/>
                  </w:rPr>
                  <m:t>1</m:t>
                </m:r>
              </m:num>
              <m:den>
                <m:r>
                  <m:rPr>
                    <m:sty m:val="p"/>
                  </m:rPr>
                  <w:rPr>
                    <w:rFonts w:ascii="Cambria Math" w:hAnsi="Cambria Math" w:cs="Times New Roman"/>
                    <w:sz w:val="22"/>
                  </w:rPr>
                  <m:t>|</m:t>
                </m:r>
                <m:r>
                  <w:rPr>
                    <w:rFonts w:ascii="Cambria Math" w:hAnsi="Cambria Math" w:cs="Times New Roman"/>
                    <w:sz w:val="22"/>
                  </w:rPr>
                  <m:t>C</m:t>
                </m:r>
                <m:r>
                  <m:rPr>
                    <m:sty m:val="p"/>
                  </m:rPr>
                  <w:rPr>
                    <w:rFonts w:ascii="Cambria Math" w:hAnsi="Cambria Math" w:cs="Times New Roman"/>
                    <w:sz w:val="22"/>
                  </w:rPr>
                  <m:t>|</m:t>
                </m:r>
              </m:den>
            </m:f>
            <m:nary>
              <m:naryPr>
                <m:chr m:val="∑"/>
                <m:limLoc m:val="undOvr"/>
                <m:supHide m:val="1"/>
                <m:ctrlPr>
                  <w:rPr>
                    <w:rFonts w:ascii="Cambria Math" w:hAnsi="Cambria Math" w:cs="Times New Roman"/>
                  </w:rPr>
                </m:ctrlPr>
              </m:naryPr>
              <m:sub>
                <m:r>
                  <w:rPr>
                    <w:rFonts w:ascii="Cambria Math" w:hAnsi="Cambria Math" w:cs="Times New Roman"/>
                    <w:sz w:val="22"/>
                  </w:rPr>
                  <m:t>i</m:t>
                </m:r>
                <m:r>
                  <m:rPr>
                    <m:sty m:val="p"/>
                  </m:rPr>
                  <w:rPr>
                    <w:rFonts w:ascii="Cambria Math" w:hAnsi="Cambria Math" w:cs="Times New Roman"/>
                    <w:sz w:val="22"/>
                  </w:rPr>
                  <m:t>∈</m:t>
                </m:r>
                <m:r>
                  <w:rPr>
                    <w:rFonts w:ascii="Cambria Math" w:hAnsi="Cambria Math" w:cs="Times New Roman"/>
                    <w:sz w:val="22"/>
                  </w:rPr>
                  <m:t>C</m:t>
                </m:r>
              </m:sub>
              <m:sup>
                <m:r>
                  <w:rPr>
                    <w:rFonts w:ascii="Cambria Math" w:hAnsi="Cambria Math" w:cs="Times New Roman"/>
                    <w:sz w:val="22"/>
                  </w:rPr>
                  <m:t>​</m:t>
                </m:r>
              </m:sup>
              <m:e>
                <m:sSubSup>
                  <m:sSubSupPr>
                    <m:ctrlPr>
                      <w:rPr>
                        <w:rFonts w:ascii="Cambria Math" w:hAnsi="Cambria Math" w:cs="Times New Roman"/>
                      </w:rPr>
                    </m:ctrlPr>
                  </m:sSubSupPr>
                  <m:e>
                    <m:r>
                      <w:rPr>
                        <w:rFonts w:ascii="Cambria Math" w:hAnsi="Cambria Math" w:cs="Times New Roman"/>
                        <w:sz w:val="22"/>
                      </w:rPr>
                      <m:t>e</m:t>
                    </m:r>
                  </m:e>
                  <m:sub>
                    <m:r>
                      <w:rPr>
                        <w:rFonts w:ascii="Cambria Math" w:hAnsi="Cambria Math" w:cs="Times New Roman"/>
                        <w:sz w:val="22"/>
                      </w:rPr>
                      <m:t>i</m:t>
                    </m:r>
                  </m:sub>
                  <m:sup>
                    <m:r>
                      <w:rPr>
                        <w:rFonts w:ascii="Cambria Math" w:hAnsi="Cambria Math" w:cs="Times New Roman"/>
                        <w:sz w:val="22"/>
                      </w:rPr>
                      <m:t>2</m:t>
                    </m:r>
                  </m:sup>
                </m:sSubSup>
              </m:e>
            </m:nary>
          </m:e>
        </m:rad>
        <m:r>
          <m:rPr>
            <m:sty m:val="p"/>
          </m:rPr>
          <w:rPr>
            <w:rFonts w:ascii="Cambria Math" w:hAnsi="Cambria Math" w:cs="Times New Roman"/>
            <w:sz w:val="22"/>
          </w:rPr>
          <m:t>.</m:t>
        </m:r>
      </m:oMath>
      <w:r w:rsidRPr="001A38C8">
        <w:rPr>
          <w:rFonts w:cs="Times New Roman"/>
        </w:rPr>
        <w:tab/>
        <w:t>(4)</w:t>
      </w:r>
    </w:p>
    <w:p w14:paraId="4904B7B0" w14:textId="77777777" w:rsidR="00B350F7" w:rsidRPr="001A38C8" w:rsidRDefault="00000000">
      <w:pPr>
        <w:pStyle w:val="FirstParagraph"/>
        <w:rPr>
          <w:rFonts w:cs="Times New Roman"/>
        </w:rPr>
      </w:pPr>
      <w:r w:rsidRPr="001A38C8">
        <w:rPr>
          <w:rFonts w:cs="Times New Roman"/>
        </w:rPr>
        <w:lastRenderedPageBreak/>
        <w:t>Missing complete windows received a 60-day calibration penalty. Evaluation reported complete-window MAE, RMSE, signed mean error and coverage. Penalty and aggregation definitions are given in Supplementary Methods S4.</w:t>
      </w:r>
    </w:p>
    <w:p w14:paraId="5507BA18" w14:textId="77777777" w:rsidR="00B350F7" w:rsidRPr="001A38C8" w:rsidRDefault="00000000">
      <w:pPr>
        <w:pStyle w:val="Heading3"/>
        <w:rPr>
          <w:rFonts w:cs="Times New Roman"/>
        </w:rPr>
      </w:pPr>
      <w:bookmarkStart w:id="24" w:name="X063d7d503c091082e47e4a38cbc398a257611f4"/>
      <w:bookmarkEnd w:id="23"/>
      <w:r w:rsidRPr="001A38C8">
        <w:rPr>
          <w:rFonts w:cs="Times New Roman"/>
        </w:rPr>
        <w:t>2.5.3 Selection of global parameter configuration</w:t>
      </w:r>
    </w:p>
    <w:p w14:paraId="247B1EC9" w14:textId="77777777" w:rsidR="00B350F7" w:rsidRPr="001A38C8" w:rsidRDefault="00000000">
      <w:pPr>
        <w:pStyle w:val="FirstParagraph"/>
        <w:rPr>
          <w:rFonts w:cs="Times New Roman"/>
        </w:rPr>
      </w:pPr>
      <w:r w:rsidRPr="001A38C8">
        <w:rPr>
          <w:rFonts w:cs="Times New Roman"/>
        </w:rPr>
        <w:t xml:space="preserve">After validation, deployment parameters were obtained by fold consensus: identical values were retained; otherwise, the unique mode was selected, with the median used for tied modes. FSIM-S shared the FSIM process parameters, with </w:t>
      </w:r>
      <m:oMath>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sp</m:t>
            </m:r>
          </m:sub>
        </m:sSub>
      </m:oMath>
      <w:r w:rsidRPr="001A38C8">
        <w:rPr>
          <w:rFonts w:cs="Times New Roman"/>
        </w:rPr>
        <w:t xml:space="preserve"> aggregated separately (</w:t>
      </w:r>
      <w:hyperlink w:anchor="X6abb9f593bd6a1cb499530223daee251383c682">
        <w:r w:rsidR="00B350F7" w:rsidRPr="001A38C8">
          <w:rPr>
            <w:rStyle w:val="Hyperlink"/>
            <w:rFonts w:cs="Times New Roman"/>
          </w:rPr>
          <w:t>Table 2</w:t>
        </w:r>
      </w:hyperlink>
      <w:r w:rsidRPr="001A38C8">
        <w:rPr>
          <w:rFonts w:cs="Times New Roman"/>
        </w:rPr>
        <w:t>; Supplementary Methods S4).</w:t>
      </w:r>
    </w:p>
    <w:p w14:paraId="2258C65C" w14:textId="77777777" w:rsidR="00B350F7" w:rsidRPr="001A38C8" w:rsidRDefault="00000000">
      <w:pPr>
        <w:pStyle w:val="Heading2"/>
        <w:rPr>
          <w:rFonts w:ascii="Times New Roman" w:hAnsi="Times New Roman" w:cs="Times New Roman"/>
        </w:rPr>
      </w:pPr>
      <w:bookmarkStart w:id="25" w:name="X2bca146b59fb1fdc16c01d78f86fcf8be2a349a"/>
      <w:bookmarkEnd w:id="20"/>
      <w:bookmarkEnd w:id="24"/>
      <w:r w:rsidRPr="001A38C8">
        <w:rPr>
          <w:rFonts w:ascii="Times New Roman" w:hAnsi="Times New Roman" w:cs="Times New Roman"/>
        </w:rPr>
        <w:t>2.6 Regional simulation and disease-management scenario analysis</w:t>
      </w:r>
    </w:p>
    <w:p w14:paraId="42BE79E2" w14:textId="77777777" w:rsidR="00B350F7" w:rsidRPr="001A38C8" w:rsidRDefault="00000000">
      <w:pPr>
        <w:pStyle w:val="FirstParagraph"/>
        <w:rPr>
          <w:rFonts w:cs="Times New Roman"/>
        </w:rPr>
      </w:pPr>
      <w:r w:rsidRPr="001A38C8">
        <w:rPr>
          <w:rFonts w:cs="Times New Roman"/>
        </w:rPr>
        <w:t>Regional simulations were conducted across Guangxi for 2000–2024 to assess the regional applicability of FSIM and its potential for disease management guided by predicted risk windows. Given the limited spatial coverage of field observations and the absence of a spatially explicit vineyard census layer, the analysis used hypothetical cultivation scenarios rather than a complete map of actual vineyard distribution. To represent differences in phenological progression and ripening among table and wine grape cultivars,</w:t>
      </w:r>
      <w:hyperlink w:anchor="Reference_25" w:history="1">
        <w:r>
          <w:rPr>
            <w:rFonts w:cs="Times New Roman"/>
            <w:vertAlign w:val="superscript"/>
          </w:rPr>
          <w:t>25</w:t>
        </w:r>
      </w:hyperlink>
      <w:r w:rsidRPr="001A38C8">
        <w:rPr>
          <w:rFonts w:cs="Times New Roman"/>
        </w:rPr>
        <w:t xml:space="preserve"> two scenarios were defined for retrospective comparison, assuming table grapes or wine grapes throughout the region, respectively. FSIM was driven by hourly ERA5 weather for 342 grid cells at </w:t>
      </w:r>
      <m:oMath>
        <m:sSup>
          <m:sSupPr>
            <m:ctrlPr>
              <w:rPr>
                <w:rFonts w:ascii="Cambria Math" w:hAnsi="Cambria Math" w:cs="Times New Roman"/>
              </w:rPr>
            </m:ctrlPr>
          </m:sSupPr>
          <m:e>
            <m:r>
              <w:rPr>
                <w:rFonts w:ascii="Cambria Math" w:hAnsi="Cambria Math" w:cs="Times New Roman"/>
              </w:rPr>
              <m:t>0.25</m:t>
            </m:r>
          </m:e>
          <m:sup>
            <m:r>
              <m:rPr>
                <m:sty m:val="p"/>
              </m:rPr>
              <w:rPr>
                <w:rFonts w:ascii="Cambria Math" w:hAnsi="Cambria Math" w:cs="Times New Roman"/>
              </w:rPr>
              <m:t>∘</m:t>
            </m:r>
          </m:sup>
        </m:sSup>
      </m:oMath>
      <w:r w:rsidRPr="001A38C8">
        <w:rPr>
          <w:rFonts w:cs="Times New Roman"/>
        </w:rPr>
        <w:t xml:space="preserve"> resolution and simulated phenology. The regional archive used existing Open-Meteo-derived ERA5 records; the 2004 records were rebuilt from the Google Earth Engine ERA5 hourly collection. All hourly series and daily aggregations used Beijing time (UTC+8). Regional onset summaries used the midpoint of the first complete symptom window, whereas the savings calculation used its start to define the timing threshold. Dates are expressed as day of year (DOY).</w:t>
      </w:r>
    </w:p>
    <w:p w14:paraId="2056B15D" w14:textId="77777777" w:rsidR="00B350F7" w:rsidRPr="001A38C8" w:rsidRDefault="00000000">
      <w:pPr>
        <w:pStyle w:val="BodyText"/>
        <w:rPr>
          <w:rFonts w:cs="Times New Roman"/>
        </w:rPr>
      </w:pPr>
      <w:r w:rsidRPr="001A38C8">
        <w:rPr>
          <w:rFonts w:cs="Times New Roman"/>
        </w:rPr>
        <w:lastRenderedPageBreak/>
        <w:t>A fixed reference downy mildew fungicide programme was based on the 2022 records from the experimental vineyard in Du’an, Hechi (</w:t>
      </w:r>
      <w:hyperlink w:anchor="X334803869f50abc00a537dfdfe6e3d8e2af777a">
        <w:r w:rsidR="00B350F7" w:rsidRPr="001A38C8">
          <w:rPr>
            <w:rStyle w:val="Hyperlink"/>
            <w:rFonts w:cs="Times New Roman"/>
          </w:rPr>
          <w:t>Figure 7</w:t>
        </w:r>
      </w:hyperlink>
      <w:r w:rsidRPr="001A38C8">
        <w:rPr>
          <w:rFonts w:cs="Times New Roman"/>
        </w:rPr>
        <w:t>). Potential reductions in early preventive applications were assessed retrospectively against this programme. A preventive application more than seven days before the start of the simulated first symptom window was classified as potentially avoidable. The seven-day buffer was a retrospective scenario assumption, informed by the lower end of recommended 7–10-day protectant spray intervals.</w:t>
      </w:r>
      <w:hyperlink w:anchor="Reference_26" w:history="1">
        <w:r>
          <w:rPr>
            <w:rFonts w:cs="Times New Roman"/>
            <w:vertAlign w:val="superscript"/>
          </w:rPr>
          <w:t>26</w:t>
        </w:r>
      </w:hyperlink>
      <w:r w:rsidRPr="001A38C8">
        <w:rPr>
          <w:rFonts w:cs="Times New Roman"/>
        </w:rPr>
        <w:t xml:space="preserve"> Infection precedes symptoms, so this rule does not identify the start of infection risk or establish that earlier protection can safely be omitted. For grid–years with no complete simulated symptom window (eight per scenario), all reference applications were counted as potentially avoidable under this assumption. The fixed programme is a comparison baseline, not a survey of regional practice. The mean annual number of potentially avoidable early applications and the corresponding proportion of the reference programme were calculated for each scenario.</w:t>
      </w:r>
    </w:p>
    <w:p w14:paraId="38DF0398" w14:textId="77777777" w:rsidR="00B350F7" w:rsidRPr="001A38C8" w:rsidRDefault="00000000">
      <w:pPr>
        <w:pStyle w:val="FigureImage"/>
        <w:jc w:val="center"/>
        <w:rPr>
          <w:rFonts w:cs="Times New Roman"/>
        </w:rPr>
      </w:pPr>
      <w:bookmarkStart w:id="26" w:name="X334803869f50abc00a537dfdfe6e3d8e2af777a"/>
      <w:r w:rsidRPr="001A38C8">
        <w:rPr>
          <w:rFonts w:cs="Times New Roman"/>
          <w:noProof/>
        </w:rPr>
        <w:drawing>
          <wp:inline distT="0" distB="0" distL="0" distR="0" wp14:anchorId="50411B85" wp14:editId="6CC99312">
            <wp:extent cx="5334000" cy="2715712"/>
            <wp:effectExtent l="0" t="0" r="0" b="0"/>
            <wp:docPr id="55" name="Picture" descr="Figure 7"/>
            <wp:cNvGraphicFramePr/>
            <a:graphic xmlns:a="http://schemas.openxmlformats.org/drawingml/2006/main">
              <a:graphicData uri="http://schemas.openxmlformats.org/drawingml/2006/picture">
                <pic:pic xmlns:pic="http://schemas.openxmlformats.org/drawingml/2006/picture">
                  <pic:nvPicPr>
                    <pic:cNvPr id="56" name="Picture" descr="fig/figure_07.png"/>
                    <pic:cNvPicPr>
                      <a:picLocks noChangeAspect="1" noChangeArrowheads="1"/>
                    </pic:cNvPicPr>
                  </pic:nvPicPr>
                  <pic:blipFill>
                    <a:blip r:embed="rId16"/>
                    <a:stretch>
                      <a:fillRect/>
                    </a:stretch>
                  </pic:blipFill>
                  <pic:spPr bwMode="auto">
                    <a:xfrm>
                      <a:off x="0" y="0"/>
                      <a:ext cx="5334000" cy="2715712"/>
                    </a:xfrm>
                    <a:prstGeom prst="rect">
                      <a:avLst/>
                    </a:prstGeom>
                    <a:noFill/>
                    <a:ln w="9525">
                      <a:noFill/>
                      <a:headEnd/>
                      <a:tailEnd/>
                    </a:ln>
                  </pic:spPr>
                </pic:pic>
              </a:graphicData>
            </a:graphic>
          </wp:inline>
        </w:drawing>
      </w:r>
    </w:p>
    <w:bookmarkEnd w:id="26"/>
    <w:p w14:paraId="5E99AAA5" w14:textId="77777777" w:rsidR="00B350F7" w:rsidRPr="001A38C8" w:rsidRDefault="00000000">
      <w:pPr>
        <w:pStyle w:val="ImageCaption"/>
        <w:jc w:val="center"/>
        <w:rPr>
          <w:rFonts w:cs="Times New Roman"/>
        </w:rPr>
      </w:pPr>
      <w:r w:rsidRPr="001A38C8">
        <w:rPr>
          <w:rFonts w:cs="Times New Roman"/>
        </w:rPr>
        <w:t>Figure 7: Illustration of the empirically executed fungicide application pattern, documented by field investigators immediately after each grower-implemented spray event in the experimental vineyard in Du’an, Hechi City, during the 2022 growing season. The management practice was characterized by preventive fungicide applications conducted after rainfall events and before the onset of first visible symptoms. The shaded region indicates the corresponding pre-symptomatic period of rainfall-triggered preventive sprays. DOY 128 is the start of the observed symptom-onset window (DOY 128–131); the first symptom-positive assessment was on DOY 131.</w:t>
      </w:r>
    </w:p>
    <w:p w14:paraId="48346045" w14:textId="77777777" w:rsidR="00B350F7" w:rsidRPr="001A38C8" w:rsidRDefault="00000000">
      <w:pPr>
        <w:pStyle w:val="Heading3"/>
        <w:rPr>
          <w:rFonts w:cs="Times New Roman"/>
        </w:rPr>
      </w:pPr>
      <w:bookmarkStart w:id="27" w:name="phenology-simulation"/>
      <w:r w:rsidRPr="001A38C8">
        <w:rPr>
          <w:rFonts w:cs="Times New Roman"/>
        </w:rPr>
        <w:lastRenderedPageBreak/>
        <w:t>2.6.1 Phenology simulation</w:t>
      </w:r>
    </w:p>
    <w:p w14:paraId="1C5E193A" w14:textId="77777777" w:rsidR="00B350F7" w:rsidRPr="001A38C8" w:rsidRDefault="00000000">
      <w:pPr>
        <w:pStyle w:val="FirstParagraph"/>
        <w:rPr>
          <w:rFonts w:cs="Times New Roman"/>
        </w:rPr>
      </w:pPr>
      <w:r w:rsidRPr="001A38C8">
        <w:rPr>
          <w:rFonts w:cs="Times New Roman"/>
        </w:rPr>
        <w:t>Regional phenology used separate table- and wine-grape thermal-time profiles calibrated against local stage targets, including assumed Nanning budburst dates. Daily growing degree days (GDD) were calculated as follows:</w:t>
      </w:r>
      <w:hyperlink w:anchor="Reference_27" w:history="1">
        <w:r>
          <w:rPr>
            <w:rFonts w:cs="Times New Roman"/>
            <w:vertAlign w:val="superscript"/>
          </w:rPr>
          <w:t>27</w:t>
        </w:r>
      </w:hyperlink>
    </w:p>
    <w:p w14:paraId="60FA7799" w14:textId="77777777" w:rsidR="00B350F7" w:rsidRPr="001A38C8" w:rsidRDefault="00000000">
      <w:pPr>
        <w:pStyle w:val="BodyText"/>
        <w:keepLines/>
        <w:tabs>
          <w:tab w:val="center" w:pos="4464"/>
          <w:tab w:val="right" w:pos="8928"/>
        </w:tabs>
        <w:spacing w:before="160" w:after="160" w:line="288" w:lineRule="auto"/>
        <w:rPr>
          <w:rFonts w:cs="Times New Roman"/>
        </w:rPr>
      </w:pPr>
      <w:r w:rsidRPr="001A38C8">
        <w:rPr>
          <w:rFonts w:cs="Times New Roman"/>
        </w:rPr>
        <w:tab/>
      </w:r>
      <m:oMath>
        <m:sSub>
          <m:sSubPr>
            <m:ctrlPr>
              <w:rPr>
                <w:rFonts w:ascii="Cambria Math" w:hAnsi="Cambria Math" w:cs="Times New Roman"/>
              </w:rPr>
            </m:ctrlPr>
          </m:sSubPr>
          <m:e>
            <m:r>
              <m:rPr>
                <m:sty m:val="p"/>
              </m:rPr>
              <w:rPr>
                <w:rFonts w:ascii="Cambria Math" w:hAnsi="Cambria Math" w:cs="Times New Roman"/>
                <w:sz w:val="22"/>
              </w:rPr>
              <m:t>GDD</m:t>
            </m:r>
          </m:e>
          <m:sub>
            <m:r>
              <w:rPr>
                <w:rFonts w:ascii="Cambria Math" w:hAnsi="Cambria Math" w:cs="Times New Roman"/>
                <w:sz w:val="22"/>
              </w:rPr>
              <m:t>d</m:t>
            </m:r>
            <m:r>
              <m:rPr>
                <m:sty m:val="p"/>
              </m:rPr>
              <w:rPr>
                <w:rFonts w:ascii="Cambria Math" w:hAnsi="Cambria Math" w:cs="Times New Roman"/>
                <w:sz w:val="22"/>
              </w:rPr>
              <m:t>,</m:t>
            </m:r>
            <m:r>
              <w:rPr>
                <w:rFonts w:ascii="Cambria Math" w:hAnsi="Cambria Math" w:cs="Times New Roman"/>
                <w:sz w:val="22"/>
              </w:rPr>
              <m:t>g</m:t>
            </m:r>
          </m:sub>
        </m:sSub>
        <m:r>
          <m:rPr>
            <m:sty m:val="p"/>
          </m:rPr>
          <w:rPr>
            <w:rFonts w:ascii="Cambria Math" w:hAnsi="Cambria Math" w:cs="Times New Roman"/>
            <w:sz w:val="22"/>
          </w:rPr>
          <m:t>=max(</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sz w:val="22"/>
                  </w:rPr>
                  <m:t>T</m:t>
                </m:r>
              </m:e>
            </m:bar>
          </m:e>
          <m:sub>
            <m:r>
              <w:rPr>
                <w:rFonts w:ascii="Cambria Math" w:hAnsi="Cambria Math" w:cs="Times New Roman"/>
                <w:sz w:val="22"/>
              </w:rPr>
              <m:t>d</m:t>
            </m:r>
          </m:sub>
        </m:sSub>
        <m:r>
          <m:rPr>
            <m:sty m:val="p"/>
          </m:rPr>
          <w:rPr>
            <w:rFonts w:ascii="Cambria Math" w:hAnsi="Cambria Math" w:cs="Times New Roman"/>
            <w:sz w:val="22"/>
          </w:rPr>
          <m:t>-</m:t>
        </m:r>
        <m:sSub>
          <m:sSubPr>
            <m:ctrlPr>
              <w:rPr>
                <w:rFonts w:ascii="Cambria Math" w:hAnsi="Cambria Math" w:cs="Times New Roman"/>
              </w:rPr>
            </m:ctrlPr>
          </m:sSubPr>
          <m:e>
            <m:r>
              <w:rPr>
                <w:rFonts w:ascii="Cambria Math" w:hAnsi="Cambria Math" w:cs="Times New Roman"/>
                <w:sz w:val="22"/>
              </w:rPr>
              <m:t>T</m:t>
            </m:r>
          </m:e>
          <m:sub>
            <m:r>
              <w:rPr>
                <w:rFonts w:ascii="Cambria Math" w:hAnsi="Cambria Math" w:cs="Times New Roman"/>
                <w:sz w:val="22"/>
              </w:rPr>
              <m:t>b</m:t>
            </m:r>
            <m:r>
              <m:rPr>
                <m:sty m:val="p"/>
              </m:rPr>
              <w:rPr>
                <w:rFonts w:ascii="Cambria Math" w:hAnsi="Cambria Math" w:cs="Times New Roman"/>
                <w:sz w:val="22"/>
              </w:rPr>
              <m:t>,</m:t>
            </m:r>
            <m:r>
              <w:rPr>
                <w:rFonts w:ascii="Cambria Math" w:hAnsi="Cambria Math" w:cs="Times New Roman"/>
                <w:sz w:val="22"/>
              </w:rPr>
              <m:t>g</m:t>
            </m:r>
          </m:sub>
        </m:sSub>
        <m:r>
          <m:rPr>
            <m:sty m:val="p"/>
          </m:rPr>
          <w:rPr>
            <w:rFonts w:ascii="Cambria Math" w:hAnsi="Cambria Math" w:cs="Times New Roman"/>
            <w:sz w:val="22"/>
          </w:rPr>
          <m:t>,</m:t>
        </m:r>
        <m:r>
          <w:rPr>
            <w:rFonts w:ascii="Cambria Math" w:hAnsi="Cambria Math" w:cs="Times New Roman"/>
            <w:sz w:val="22"/>
          </w:rPr>
          <m:t>0</m:t>
        </m:r>
        <m:r>
          <m:rPr>
            <m:sty m:val="p"/>
          </m:rPr>
          <w:rPr>
            <w:rFonts w:ascii="Cambria Math" w:hAnsi="Cambria Math" w:cs="Times New Roman"/>
            <w:sz w:val="22"/>
          </w:rPr>
          <m:t>)</m:t>
        </m:r>
      </m:oMath>
      <w:r w:rsidRPr="001A38C8">
        <w:rPr>
          <w:rFonts w:cs="Times New Roman"/>
        </w:rPr>
        <w:tab/>
        <w:t>(5)</w:t>
      </w:r>
    </w:p>
    <w:p w14:paraId="03CB04E6" w14:textId="77777777" w:rsidR="00B350F7" w:rsidRPr="001A38C8" w:rsidRDefault="00000000">
      <w:pPr>
        <w:pStyle w:val="FirstParagraph"/>
        <w:rPr>
          <w:rFonts w:cs="Times New Roman"/>
        </w:rPr>
      </w:pPr>
      <w:r w:rsidRPr="001A38C8">
        <w:rPr>
          <w:rFonts w:cs="Times New Roman"/>
        </w:rPr>
        <w:t xml:space="preserve">where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T</m:t>
                </m:r>
              </m:e>
            </m:bar>
          </m:e>
          <m:sub>
            <m:r>
              <w:rPr>
                <w:rFonts w:ascii="Cambria Math" w:hAnsi="Cambria Math" w:cs="Times New Roman"/>
              </w:rPr>
              <m:t>d</m:t>
            </m:r>
          </m:sub>
        </m:sSub>
      </m:oMath>
      <w:r w:rsidRPr="001A38C8">
        <w:rPr>
          <w:rFonts w:cs="Times New Roman"/>
        </w:rPr>
        <w:t xml:space="preserve"> is the Beijing-time daily mean temperature and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b</m:t>
            </m:r>
            <m:r>
              <m:rPr>
                <m:sty m:val="p"/>
              </m:rPr>
              <w:rPr>
                <w:rFonts w:ascii="Cambria Math" w:hAnsi="Cambria Math" w:cs="Times New Roman"/>
              </w:rPr>
              <m:t>,</m:t>
            </m:r>
            <m:r>
              <w:rPr>
                <w:rFonts w:ascii="Cambria Math" w:hAnsi="Cambria Math" w:cs="Times New Roman"/>
              </w:rPr>
              <m:t>g</m:t>
            </m:r>
          </m:sub>
        </m:sSub>
      </m:oMath>
      <w:r w:rsidRPr="001A38C8">
        <w:rPr>
          <w:rFonts w:cs="Times New Roman"/>
        </w:rPr>
        <w:t xml:space="preserve"> the profile-specific base temperature. Accumulation began at the fitted start DOY and reset after BBCH09, 65 and 81. When unobserved, BBCH53 was assigned 30% of the BBCH09–65 forcing requirement as a fixed empirical interpolation. Calibration targets, profile comparison, stage thresholds and the basis of this auxiliary rule are given in Supplementary Methods S5 and Tables S2–S4.</w:t>
      </w:r>
    </w:p>
    <w:p w14:paraId="1E8796A4" w14:textId="77777777" w:rsidR="00B350F7" w:rsidRPr="001A38C8" w:rsidRDefault="00000000">
      <w:pPr>
        <w:pStyle w:val="Heading1"/>
        <w:rPr>
          <w:rFonts w:ascii="Times New Roman" w:hAnsi="Times New Roman" w:cs="Times New Roman"/>
        </w:rPr>
      </w:pPr>
      <w:bookmarkStart w:id="28" w:name="results"/>
      <w:bookmarkEnd w:id="2"/>
      <w:bookmarkEnd w:id="25"/>
      <w:bookmarkEnd w:id="27"/>
      <w:r w:rsidRPr="001A38C8">
        <w:rPr>
          <w:rFonts w:ascii="Times New Roman" w:hAnsi="Times New Roman" w:cs="Times New Roman"/>
        </w:rPr>
        <w:t>3 RESULTS</w:t>
      </w:r>
    </w:p>
    <w:p w14:paraId="52AAD610" w14:textId="77777777" w:rsidR="00B350F7" w:rsidRPr="001A38C8" w:rsidRDefault="00000000">
      <w:pPr>
        <w:pStyle w:val="Heading2"/>
        <w:rPr>
          <w:rFonts w:ascii="Times New Roman" w:hAnsi="Times New Roman" w:cs="Times New Roman"/>
        </w:rPr>
      </w:pPr>
      <w:bookmarkStart w:id="29" w:name="Xb7b8f043b5e0352997e584896b213e614f3c963"/>
      <w:r w:rsidRPr="001A38C8">
        <w:rPr>
          <w:rFonts w:ascii="Times New Roman" w:hAnsi="Times New Roman" w:cs="Times New Roman"/>
        </w:rPr>
        <w:t>3.1 Field observations of disease onset and spore dynamics</w:t>
      </w:r>
    </w:p>
    <w:p w14:paraId="7EE2FE66" w14:textId="77777777" w:rsidR="00B350F7" w:rsidRPr="001A38C8" w:rsidRDefault="00000000">
      <w:pPr>
        <w:pStyle w:val="FirstParagraph"/>
        <w:rPr>
          <w:rFonts w:cs="Times New Roman"/>
        </w:rPr>
      </w:pPr>
      <w:r w:rsidRPr="001A38C8">
        <w:rPr>
          <w:rFonts w:cs="Times New Roman"/>
        </w:rPr>
        <w:t>Across the six site–years, observed disease-onset windows spanned 19–22 April (Nanning 2024) to 27–30 May (Guilin 2022). Spore-positive collections recorded up to the corresponding onset dates spanned 30 March (Nanning 2023) to 30 May (Guilin 2022), with counts of 1–84 per collection (</w:t>
      </w:r>
      <w:hyperlink w:anchor="X3dd1693b9934f606fb510edaa0fbc91d71c8b41">
        <w:r w:rsidR="00B350F7" w:rsidRPr="001A38C8">
          <w:rPr>
            <w:rStyle w:val="Hyperlink"/>
            <w:rFonts w:cs="Times New Roman"/>
          </w:rPr>
          <w:t>Figure 8</w:t>
        </w:r>
      </w:hyperlink>
      <w:r w:rsidRPr="001A38C8">
        <w:rPr>
          <w:rFonts w:cs="Times New Roman"/>
        </w:rPr>
        <w:t>). The earliest first disease-positive assessment occurred in Nanning 2024 (22 April), whereas the latest occurred in Guilin 2022 (30 May); the earliest and latest first spore-positive observations were in Nanning 2023 (30 March) and Guilin 2022 (17 April), respectively. The final spore-positive collection coincided with the first disease-positive assessment in four site–years, whereas it preceded that assessment by 9 days in Hechi 2022 and 3 days in Nanning 2023.</w:t>
      </w:r>
    </w:p>
    <w:p w14:paraId="6546800B" w14:textId="77777777" w:rsidR="00B350F7" w:rsidRPr="001A38C8" w:rsidRDefault="00000000">
      <w:pPr>
        <w:pStyle w:val="FigureImage"/>
        <w:jc w:val="center"/>
        <w:rPr>
          <w:rFonts w:cs="Times New Roman"/>
        </w:rPr>
      </w:pPr>
      <w:bookmarkStart w:id="30" w:name="X3dd1693b9934f606fb510edaa0fbc91d71c8b41"/>
      <w:r w:rsidRPr="001A38C8">
        <w:rPr>
          <w:rFonts w:cs="Times New Roman"/>
          <w:noProof/>
        </w:rPr>
        <w:lastRenderedPageBreak/>
        <w:drawing>
          <wp:inline distT="0" distB="0" distL="0" distR="0" wp14:anchorId="0C1C024B" wp14:editId="2990A82D">
            <wp:extent cx="5334000" cy="5334000"/>
            <wp:effectExtent l="0" t="0" r="0" b="0"/>
            <wp:docPr id="62" name="Picture" descr="Figure 8"/>
            <wp:cNvGraphicFramePr/>
            <a:graphic xmlns:a="http://schemas.openxmlformats.org/drawingml/2006/main">
              <a:graphicData uri="http://schemas.openxmlformats.org/drawingml/2006/picture">
                <pic:pic xmlns:pic="http://schemas.openxmlformats.org/drawingml/2006/picture">
                  <pic:nvPicPr>
                    <pic:cNvPr id="63" name="Picture" descr="fig/figure_08.png"/>
                    <pic:cNvPicPr>
                      <a:picLocks noChangeAspect="1" noChangeArrowheads="1"/>
                    </pic:cNvPicPr>
                  </pic:nvPicPr>
                  <pic:blipFill>
                    <a:blip r:embed="rId17"/>
                    <a:stretch>
                      <a:fillRect/>
                    </a:stretch>
                  </pic:blipFill>
                  <pic:spPr bwMode="auto">
                    <a:xfrm>
                      <a:off x="0" y="0"/>
                      <a:ext cx="5334000" cy="5334000"/>
                    </a:xfrm>
                    <a:prstGeom prst="rect">
                      <a:avLst/>
                    </a:prstGeom>
                    <a:noFill/>
                    <a:ln w="9525">
                      <a:noFill/>
                      <a:headEnd/>
                      <a:tailEnd/>
                    </a:ln>
                  </pic:spPr>
                </pic:pic>
              </a:graphicData>
            </a:graphic>
          </wp:inline>
        </w:drawing>
      </w:r>
    </w:p>
    <w:bookmarkEnd w:id="30"/>
    <w:p w14:paraId="5CAB22E6" w14:textId="77777777" w:rsidR="00B350F7" w:rsidRPr="001A38C8" w:rsidRDefault="00000000">
      <w:pPr>
        <w:pStyle w:val="ImageCaption"/>
        <w:jc w:val="center"/>
        <w:rPr>
          <w:rFonts w:cs="Times New Roman"/>
        </w:rPr>
      </w:pPr>
      <w:r w:rsidRPr="001A38C8">
        <w:rPr>
          <w:rFonts w:cs="Times New Roman"/>
        </w:rPr>
        <w:t>Figure 8: Experimental observations from Guangxi. Spore-positive and zero-count collections are shown on a common calendar axis; red bars denote disease-onset windows between the last negative and first positive assessments.</w:t>
      </w:r>
    </w:p>
    <w:p w14:paraId="2C66C9E4" w14:textId="77777777" w:rsidR="00B350F7" w:rsidRPr="001A38C8" w:rsidRDefault="00000000">
      <w:pPr>
        <w:pStyle w:val="Heading2"/>
        <w:rPr>
          <w:rFonts w:ascii="Times New Roman" w:hAnsi="Times New Roman" w:cs="Times New Roman"/>
        </w:rPr>
      </w:pPr>
      <w:bookmarkStart w:id="31" w:name="sensitivity-analysis"/>
      <w:bookmarkEnd w:id="29"/>
      <w:r w:rsidRPr="001A38C8">
        <w:rPr>
          <w:rFonts w:ascii="Times New Roman" w:hAnsi="Times New Roman" w:cs="Times New Roman"/>
        </w:rPr>
        <w:t>3.2 Sensitivity analysis</w:t>
      </w:r>
    </w:p>
    <w:p w14:paraId="7E5BFEB9" w14:textId="77777777" w:rsidR="00B350F7" w:rsidRPr="001A38C8" w:rsidRDefault="00000000">
      <w:pPr>
        <w:pStyle w:val="FirstParagraph"/>
        <w:rPr>
          <w:rFonts w:cs="Times New Roman"/>
        </w:rPr>
      </w:pPr>
      <w:r w:rsidRPr="001A38C8">
        <w:rPr>
          <w:rFonts w:cs="Times New Roman"/>
        </w:rPr>
        <w:t xml:space="preserve">At </w:t>
      </w:r>
      <m:oMath>
        <m:r>
          <w:rPr>
            <w:rFonts w:ascii="Cambria Math" w:hAnsi="Cambria Math" w:cs="Times New Roman"/>
          </w:rPr>
          <m:t>N=1024</m:t>
        </m:r>
      </m:oMath>
      <w:r w:rsidRPr="001A38C8">
        <w:rPr>
          <w:rFonts w:cs="Times New Roman"/>
        </w:rPr>
        <w:t xml:space="preserve">, the total-order sensitivity ranking across six site–years was EDR &gt; SRH &gt; WTH &gt; HWR &gt; IDH &gt; MMH (</w:t>
      </w:r>
      <w:hyperlink w:anchor="X415e9945071b9c01cdaa92cf0c5b2ce9c10bf98">
        <w:r w:rsidR="00B350F7" w:rsidRPr="001A38C8">
          <w:rPr>
            <w:rStyle w:val="Hyperlink"/>
            <w:rFonts w:cs="Times New Roman"/>
          </w:rPr>
          <w:t>Figure 9</w:t>
        </w:r>
      </w:hyperlink>
      <w:r w:rsidRPr="001A38C8">
        <w:rPr>
          <w:rFonts w:cs="Times New Roman"/>
        </w:rPr>
        <w:t xml:space="preserve">). EDR dominated the variation in the censored mean first symptom-onset day, with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1</m:t>
            </m:r>
          </m:sub>
        </m:sSub>
      </m:oMath>
      <w:r w:rsidRPr="001A38C8">
        <w:rPr>
          <w:rFonts w:cs="Times New Roman"/>
        </w:rPr>
        <w:t xml:space="preserve"> = 0.740 and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oMath>
      <w:r w:rsidRPr="001A38C8">
        <w:rPr>
          <w:rFonts w:cs="Times New Roman"/>
        </w:rPr>
        <w:t xml:space="preserve"> = 0.817. Total-order indices were 0.097 for SRH, 0.093 for WTH, 0.087 for HWR, 0.020 for IDH and 0.009 for MMH. Across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256</m:t>
        </m:r>
      </m:oMath>
      <w:r w:rsidRPr="001A38C8">
        <w:rPr>
          <w:rFonts w:cs="Times New Roman"/>
        </w:rPr>
        <w:t xml:space="preserve">, 512 and 1024, EDR remained dominant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oMath>
      <w:r w:rsidRPr="001A38C8">
        <w:rPr>
          <w:rFonts w:cs="Times New Roman"/>
        </w:rPr>
        <w:t xml:space="preserve"> = 0.795–0.832) and SRH ranked second. WTH and HWR exchanged ranks, while IDH and MMH consistently had smaller effects. The overlapping 95% confidence intervals for SRH, WTH and HWR indicate that their relative ordering was less clearly resolved than EDR’s dominance.</w:t>
      </w:r>
    </w:p>
    <w:p w14:paraId="2A4809AD" w14:textId="77777777" w:rsidR="00B350F7" w:rsidRPr="001A38C8" w:rsidRDefault="00000000">
      <w:pPr>
        <w:pStyle w:val="FigureImage"/>
        <w:jc w:val="center"/>
        <w:rPr>
          <w:rFonts w:cs="Times New Roman"/>
        </w:rPr>
      </w:pPr>
      <w:bookmarkStart w:id="32" w:name="X415e9945071b9c01cdaa92cf0c5b2ce9c10bf98"/>
      <w:r w:rsidRPr="001A38C8">
        <w:rPr>
          <w:rFonts w:cs="Times New Roman"/>
          <w:noProof/>
        </w:rPr>
        <w:lastRenderedPageBreak/>
        <w:drawing>
          <wp:inline distT="0" distB="0" distL="0" distR="0" wp14:anchorId="2D909147" wp14:editId="1E221CD9">
            <wp:extent cx="5334000" cy="3716111"/>
            <wp:effectExtent l="0" t="0" r="0" b="0"/>
            <wp:docPr id="67" name="Picture" descr="Figure 9"/>
            <wp:cNvGraphicFramePr/>
            <a:graphic xmlns:a="http://schemas.openxmlformats.org/drawingml/2006/main">
              <a:graphicData uri="http://schemas.openxmlformats.org/drawingml/2006/picture">
                <pic:pic xmlns:pic="http://schemas.openxmlformats.org/drawingml/2006/picture">
                  <pic:nvPicPr>
                    <pic:cNvPr id="68" name="Picture" descr="fig/figure_09.png"/>
                    <pic:cNvPicPr>
                      <a:picLocks noChangeAspect="1" noChangeArrowheads="1"/>
                    </pic:cNvPicPr>
                  </pic:nvPicPr>
                  <pic:blipFill>
                    <a:blip r:embed="rId18"/>
                    <a:stretch>
                      <a:fillRect/>
                    </a:stretch>
                  </pic:blipFill>
                  <pic:spPr bwMode="auto">
                    <a:xfrm>
                      <a:off x="0" y="0"/>
                      <a:ext cx="5334000" cy="3716111"/>
                    </a:xfrm>
                    <a:prstGeom prst="rect">
                      <a:avLst/>
                    </a:prstGeom>
                    <a:noFill/>
                    <a:ln w="9525">
                      <a:noFill/>
                      <a:headEnd/>
                      <a:tailEnd/>
                    </a:ln>
                  </pic:spPr>
                </pic:pic>
              </a:graphicData>
            </a:graphic>
          </wp:inline>
        </w:drawing>
      </w:r>
    </w:p>
    <w:bookmarkEnd w:id="32"/>
    <w:p w14:paraId="28A7FF1A" w14:textId="77777777" w:rsidR="00B350F7" w:rsidRPr="001A38C8" w:rsidRDefault="00000000">
      <w:pPr>
        <w:pStyle w:val="ImageCaption"/>
        <w:jc w:val="center"/>
        <w:rPr>
          <w:rFonts w:cs="Times New Roman"/>
        </w:rPr>
      </w:pPr>
      <w:r w:rsidRPr="001A38C8">
        <w:rPr>
          <w:rFonts w:cs="Times New Roman"/>
        </w:rPr>
        <w:t>Figure 9: Sobol sensitivity of six FSIM parameters for the censored mean first symptom-onset day across six site–years. (a) First-order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1</m:t>
            </m:r>
          </m:sub>
        </m:sSub>
      </m:oMath>
      <w:r w:rsidRPr="001A38C8">
        <w:rPr>
          <w:rFonts w:cs="Times New Roman"/>
        </w:rPr>
        <w:t>) and total-order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oMath>
      <w:r w:rsidRPr="001A38C8">
        <w:rPr>
          <w:rFonts w:cs="Times New Roman"/>
        </w:rPr>
        <w:t xml:space="preserve">) indices at </w:t>
      </w:r>
      <m:oMath>
        <m:r>
          <w:rPr>
            <w:rFonts w:ascii="Cambria Math" w:hAnsi="Cambria Math" w:cs="Times New Roman"/>
          </w:rPr>
          <m:t>N=1024</m:t>
        </m:r>
      </m:oMath>
      <w:r w:rsidRPr="001A38C8">
        <w:rPr>
          <w:rFonts w:cs="Times New Roman"/>
        </w:rPr>
        <w:t xml:space="preserve">; (b) total-order indices across </w:t>
      </w:r>
      <m:oMath>
        <m:r>
          <w:rPr>
            <w:rFonts w:ascii="Cambria Math" w:hAnsi="Cambria Math" w:cs="Times New Roman"/>
          </w:rPr>
          <m:t>N=256</m:t>
        </m:r>
      </m:oMath>
      <w:r w:rsidRPr="001A38C8">
        <w:rPr>
          <w:rFonts w:cs="Times New Roman"/>
        </w:rPr>
        <w:t>, 512, and 1024. Error bars show 95% bootstrap confidence intervals. Parameter abbreviations: EDR = effective deposition rainfall threshold; SRH = sporulation relative-humidity threshold; MMH = minimum moist-hour threshold; HWR = heavy-rain wash-off threshold; IDH = infection degree-hour threshold; WTH = minimum wind-speed threshold.</w:t>
      </w:r>
    </w:p>
    <w:p w14:paraId="4FF24656" w14:textId="77777777" w:rsidR="00B350F7" w:rsidRPr="001A38C8" w:rsidRDefault="00000000">
      <w:pPr>
        <w:pStyle w:val="Heading2"/>
        <w:rPr>
          <w:rFonts w:ascii="Times New Roman" w:hAnsi="Times New Roman" w:cs="Times New Roman"/>
        </w:rPr>
      </w:pPr>
      <w:bookmarkStart w:id="33" w:name="model-performance"/>
      <w:bookmarkEnd w:id="31"/>
      <w:r w:rsidRPr="001A38C8">
        <w:rPr>
          <w:rFonts w:ascii="Times New Roman" w:hAnsi="Times New Roman" w:cs="Times New Roman"/>
        </w:rPr>
        <w:t>3.3 Model performance</w:t>
      </w:r>
    </w:p>
    <w:p w14:paraId="1C812C6F" w14:textId="77777777" w:rsidR="00B350F7" w:rsidRPr="001A38C8" w:rsidRDefault="00000000">
      <w:pPr>
        <w:pStyle w:val="FirstParagraph"/>
        <w:rPr>
          <w:rFonts w:cs="Times New Roman"/>
        </w:rPr>
      </w:pPr>
      <w:r w:rsidRPr="001A38C8">
        <w:rPr>
          <w:rFonts w:cs="Times New Roman"/>
        </w:rPr>
        <w:t>FSIM had a training-set MAE of 5.67 days and RMSE of 7.18 days, and a validation-set MAE of 5.67 days and RMSE of 7.26 days (</w:t>
      </w:r>
      <w:hyperlink w:anchor="fig:fsim-error-metrics">
        <w:r w:rsidR="00B350F7" w:rsidRPr="001A38C8">
          <w:rPr>
            <w:rStyle w:val="Hyperlink"/>
            <w:rFonts w:cs="Times New Roman"/>
          </w:rPr>
          <w:t>Figure 10</w:t>
        </w:r>
      </w:hyperlink>
      <w:r w:rsidRPr="001A38C8">
        <w:rPr>
          <w:rFonts w:cs="Times New Roman"/>
        </w:rPr>
        <w:t>).</w:t>
      </w:r>
    </w:p>
    <w:p w14:paraId="229253FA" w14:textId="77777777" w:rsidR="00B350F7" w:rsidRPr="001A38C8" w:rsidRDefault="00000000">
      <w:pPr>
        <w:pStyle w:val="BodyText"/>
        <w:rPr>
          <w:rFonts w:cs="Times New Roman"/>
        </w:rPr>
      </w:pPr>
      <w:r w:rsidRPr="001A38C8">
        <w:rPr>
          <w:rFonts w:cs="Times New Roman"/>
        </w:rPr>
        <w:t>FSIM-S had a training-set MAE of 3.83 days and RMSE of 5.99 days, and a validation-set MAE of 3.83 days and RMSE of 6.18 days. Relative to FSIM, MAE decreased by 32.4% in both sets; RMSE decreased by 16.6% in the training set and 14.9% in the validation set.</w:t>
      </w:r>
    </w:p>
    <w:p w14:paraId="62AC5364" w14:textId="77777777" w:rsidR="00B350F7" w:rsidRPr="001A38C8" w:rsidRDefault="00000000">
      <w:pPr>
        <w:pStyle w:val="BodyText"/>
        <w:rPr>
          <w:rFonts w:cs="Times New Roman"/>
        </w:rPr>
      </w:pPr>
      <w:r w:rsidRPr="001A38C8">
        <w:rPr>
          <w:rFonts w:cs="Times New Roman"/>
        </w:rPr>
        <w:t>From FSIM to FSIM-S, the site–year errors changed as follows: Hechi 2024, 0 to 0 days; Hechi 2023, -6 to +4 days; Hechi 2022, -14 to -14 days; Nanning 2024, +4 to +4 days; Nanning 2023, +2 to +1 days; and Guilin 2022, -8 to 0 days (</w:t>
      </w:r>
      <w:hyperlink w:anchor="fig:fsim-site-year-errors">
        <w:r w:rsidR="00B350F7" w:rsidRPr="001A38C8">
          <w:rPr>
            <w:rStyle w:val="Hyperlink"/>
            <w:rFonts w:cs="Times New Roman"/>
          </w:rPr>
          <w:t>Figure 11</w:t>
        </w:r>
      </w:hyperlink>
      <w:r w:rsidRPr="001A38C8">
        <w:rPr>
          <w:rFonts w:cs="Times New Roman"/>
        </w:rPr>
        <w:t>). Zero error occurred for Hechi 2024 under both models and for Guilin 2022 under FSIM-S. The largest error magnitude was 14 days in Hechi 2022 and remained unchanged between models.</w:t>
      </w:r>
    </w:p>
    <w:p w14:paraId="08081EAA" w14:textId="77777777" w:rsidR="00B350F7" w:rsidRPr="001A38C8" w:rsidRDefault="00000000">
      <w:pPr>
        <w:pStyle w:val="FigureImage"/>
        <w:jc w:val="center"/>
        <w:rPr>
          <w:rFonts w:cs="Times New Roman"/>
        </w:rPr>
      </w:pPr>
      <w:bookmarkStart w:id="34" w:name="fig:fsim-error-metrics"/>
      <w:r w:rsidRPr="001A38C8">
        <w:rPr>
          <w:rFonts w:cs="Times New Roman"/>
          <w:noProof/>
        </w:rPr>
        <w:lastRenderedPageBreak/>
        <w:drawing>
          <wp:inline distT="0" distB="0" distL="0" distR="0" wp14:anchorId="1DB97252" wp14:editId="6E63842F">
            <wp:extent cx="5334000" cy="2423964"/>
            <wp:effectExtent l="0" t="0" r="0" b="0"/>
            <wp:docPr id="72" name="Picture" descr="Figure 10"/>
            <wp:cNvGraphicFramePr/>
            <a:graphic xmlns:a="http://schemas.openxmlformats.org/drawingml/2006/main">
              <a:graphicData uri="http://schemas.openxmlformats.org/drawingml/2006/picture">
                <pic:pic xmlns:pic="http://schemas.openxmlformats.org/drawingml/2006/picture">
                  <pic:nvPicPr>
                    <pic:cNvPr id="73" name="Picture" descr="fig/figure_10.png"/>
                    <pic:cNvPicPr>
                      <a:picLocks noChangeAspect="1" noChangeArrowheads="1"/>
                    </pic:cNvPicPr>
                  </pic:nvPicPr>
                  <pic:blipFill>
                    <a:blip r:embed="rId19"/>
                    <a:stretch>
                      <a:fillRect/>
                    </a:stretch>
                  </pic:blipFill>
                  <pic:spPr bwMode="auto">
                    <a:xfrm>
                      <a:off x="0" y="0"/>
                      <a:ext cx="5334000" cy="2423964"/>
                    </a:xfrm>
                    <a:prstGeom prst="rect">
                      <a:avLst/>
                    </a:prstGeom>
                    <a:noFill/>
                    <a:ln w="9525">
                      <a:noFill/>
                      <a:headEnd/>
                      <a:tailEnd/>
                    </a:ln>
                  </pic:spPr>
                </pic:pic>
              </a:graphicData>
            </a:graphic>
          </wp:inline>
        </w:drawing>
      </w:r>
    </w:p>
    <w:bookmarkEnd w:id="34"/>
    <w:p w14:paraId="3A8D127C" w14:textId="77777777" w:rsidR="00B350F7" w:rsidRPr="001A38C8" w:rsidRDefault="00000000">
      <w:pPr>
        <w:pStyle w:val="ImageCaption"/>
        <w:jc w:val="center"/>
        <w:rPr>
          <w:rFonts w:cs="Times New Roman"/>
        </w:rPr>
      </w:pPr>
      <w:r w:rsidRPr="001A38C8">
        <w:rPr>
          <w:rFonts w:cs="Times New Roman"/>
        </w:rPr>
        <w:t xml:space="preserve">Figure 10: Aggregate first symptom-onset errors for FSIM and FSIM-S. (a) Mean absolute error (MAE); (b) root mean square error (RMSE). Training values are means across six outer folds; validation values summarize the six held-out predictions. Error bars indicate </w:t>
      </w:r>
      <m:oMath>
        <m:r>
          <w:rPr>
            <w:rFonts w:ascii="Cambria Math" w:hAnsi="Cambria Math" w:cs="Times New Roman"/>
          </w:rPr>
          <m:t>±</m:t>
        </m:r>
      </m:oMath>
      <w:r w:rsidRPr="001A38C8">
        <w:rPr>
          <w:rFonts w:cs="Times New Roman"/>
        </w:rPr>
        <w:t xml:space="preserve"> one bootstrap standard error from site–year resampling with fitted models held fixed. Values are in days.</w:t>
      </w:r>
    </w:p>
    <w:p w14:paraId="510AF7C3" w14:textId="77777777" w:rsidR="00B350F7" w:rsidRPr="001A38C8" w:rsidRDefault="00000000">
      <w:pPr>
        <w:pStyle w:val="FigureImage"/>
        <w:jc w:val="center"/>
        <w:rPr>
          <w:rFonts w:cs="Times New Roman"/>
        </w:rPr>
      </w:pPr>
      <w:bookmarkStart w:id="35" w:name="fig:fsim-site-year-errors"/>
      <w:r w:rsidRPr="001A38C8">
        <w:rPr>
          <w:rFonts w:cs="Times New Roman"/>
          <w:noProof/>
        </w:rPr>
        <w:drawing>
          <wp:inline distT="0" distB="0" distL="0" distR="0" wp14:anchorId="7AD2FB74" wp14:editId="0B057F10">
            <wp:extent cx="5334000" cy="2996613"/>
            <wp:effectExtent l="0" t="0" r="0" b="0"/>
            <wp:docPr id="76" name="Picture" descr="Figure 11"/>
            <wp:cNvGraphicFramePr/>
            <a:graphic xmlns:a="http://schemas.openxmlformats.org/drawingml/2006/main">
              <a:graphicData uri="http://schemas.openxmlformats.org/drawingml/2006/picture">
                <pic:pic xmlns:pic="http://schemas.openxmlformats.org/drawingml/2006/picture">
                  <pic:nvPicPr>
                    <pic:cNvPr id="77" name="Picture" descr="fig/figure_11.png"/>
                    <pic:cNvPicPr>
                      <a:picLocks noChangeAspect="1" noChangeArrowheads="1"/>
                    </pic:cNvPicPr>
                  </pic:nvPicPr>
                  <pic:blipFill>
                    <a:blip r:embed="rId20"/>
                    <a:stretch>
                      <a:fillRect/>
                    </a:stretch>
                  </pic:blipFill>
                  <pic:spPr bwMode="auto">
                    <a:xfrm>
                      <a:off x="0" y="0"/>
                      <a:ext cx="5334000" cy="2996613"/>
                    </a:xfrm>
                    <a:prstGeom prst="rect">
                      <a:avLst/>
                    </a:prstGeom>
                    <a:noFill/>
                    <a:ln w="9525">
                      <a:noFill/>
                      <a:headEnd/>
                      <a:tailEnd/>
                    </a:ln>
                  </pic:spPr>
                </pic:pic>
              </a:graphicData>
            </a:graphic>
          </wp:inline>
        </w:drawing>
      </w:r>
    </w:p>
    <w:bookmarkEnd w:id="35"/>
    <w:p w14:paraId="2CCFD014" w14:textId="77777777" w:rsidR="00B350F7" w:rsidRPr="001A38C8" w:rsidRDefault="00000000">
      <w:pPr>
        <w:pStyle w:val="ImageCaption"/>
        <w:jc w:val="center"/>
        <w:rPr>
          <w:rFonts w:cs="Times New Roman"/>
        </w:rPr>
      </w:pPr>
      <w:r w:rsidRPr="001A38C8">
        <w:rPr>
          <w:rFonts w:cs="Times New Roman"/>
        </w:rPr>
        <w:t xml:space="preserve">Figure 11: Site–year interval-based errors in first symptom-onset timing for FSIM and FSIM-S. The shaded region indicates signed distances between the simulated and observed windows within </w:t>
      </w:r>
      <m:oMath>
        <m:r>
          <w:rPr>
            <w:rFonts w:ascii="Cambria Math" w:hAnsi="Cambria Math" w:cs="Times New Roman"/>
          </w:rPr>
          <m:t>±7</m:t>
        </m:r>
      </m:oMath>
      <w:r w:rsidRPr="001A38C8">
        <w:rPr>
          <w:rFonts w:cs="Times New Roman"/>
        </w:rPr>
        <w:t xml:space="preserve"> days; overlapping windows have zero error.</w:t>
      </w:r>
    </w:p>
    <w:p w14:paraId="3B6E59BF" w14:textId="77777777" w:rsidR="00B350F7" w:rsidRPr="001A38C8" w:rsidRDefault="00000000">
      <w:pPr>
        <w:pStyle w:val="Heading2"/>
        <w:rPr>
          <w:rFonts w:ascii="Times New Roman" w:hAnsi="Times New Roman" w:cs="Times New Roman"/>
        </w:rPr>
      </w:pPr>
      <w:bookmarkStart w:id="36" w:name="Xd1bec5f7a90f44ea1461a6a3f3d9482fe68dbba"/>
      <w:bookmarkEnd w:id="33"/>
      <w:r w:rsidRPr="001A38C8">
        <w:rPr>
          <w:rFonts w:ascii="Times New Roman" w:hAnsi="Times New Roman" w:cs="Times New Roman"/>
        </w:rPr>
        <w:t>3.4 Spatial distribution of first symptom onset across Guangxi (2000–2024)</w:t>
      </w:r>
    </w:p>
    <w:p w14:paraId="1375BCFF" w14:textId="77777777" w:rsidR="00B350F7" w:rsidRPr="001A38C8" w:rsidRDefault="00000000">
      <w:pPr>
        <w:pStyle w:val="FirstParagraph"/>
        <w:rPr>
          <w:rFonts w:cs="Times New Roman"/>
        </w:rPr>
      </w:pPr>
      <w:r w:rsidRPr="001A38C8">
        <w:rPr>
          <w:rFonts w:cs="Times New Roman"/>
        </w:rPr>
        <w:t>During 2000–2024, mean spring temperature was generally higher in southern than northern Guangxi. Cumulative spring precipitation was higher in the east, particularly the northeast, and lower in the west. Nighttime high-humidity duration was generally longer in the southeast and shorter in the northwest (</w:t>
      </w:r>
      <w:hyperlink w:anchor="fig:spring-weather-background">
        <w:r w:rsidR="00B350F7" w:rsidRPr="001A38C8">
          <w:rPr>
            <w:rStyle w:val="Hyperlink"/>
            <w:rFonts w:cs="Times New Roman"/>
          </w:rPr>
          <w:t>Figure 12a–c</w:t>
        </w:r>
      </w:hyperlink>
      <w:r w:rsidRPr="001A38C8">
        <w:rPr>
          <w:rFonts w:cs="Times New Roman"/>
        </w:rPr>
        <w:t>).</w:t>
      </w:r>
    </w:p>
    <w:p w14:paraId="26E0367D" w14:textId="77777777" w:rsidR="00B350F7" w:rsidRPr="001A38C8" w:rsidRDefault="00000000">
      <w:pPr>
        <w:pStyle w:val="BodyText"/>
        <w:rPr>
          <w:rFonts w:cs="Times New Roman"/>
        </w:rPr>
      </w:pPr>
      <w:r w:rsidRPr="001A38C8">
        <w:rPr>
          <w:rFonts w:cs="Times New Roman"/>
        </w:rPr>
        <w:lastRenderedPageBreak/>
        <w:t>Across Guangxi, the grid-cell mean first symptom-window midpoints for 2000–2024 averaged DOY 130.4 under the table-grape scenario and DOY 136.3 under the wine-grape scenario, a difference of 5.9 days (</w:t>
      </w:r>
      <w:hyperlink w:anchor="Xf2c50318eeabfb1a0d45a7c051b2aa7fa0addd7">
        <w:r w:rsidR="00B350F7" w:rsidRPr="001A38C8">
          <w:rPr>
            <w:rStyle w:val="Hyperlink"/>
            <w:rFonts w:cs="Times New Roman"/>
          </w:rPr>
          <w:t>Figure 13a,b</w:t>
        </w:r>
      </w:hyperlink>
      <w:r w:rsidRPr="001A38C8">
        <w:rPr>
          <w:rFonts w:cs="Times New Roman"/>
        </w:rPr>
        <w:t>). Both scenarios showed earlier onset in eastern and southeastern Guangxi and later onset in western Guangxi, particularly the northwest.</w:t>
      </w:r>
    </w:p>
    <w:p w14:paraId="02972790" w14:textId="77777777" w:rsidR="00B350F7" w:rsidRPr="001A38C8" w:rsidRDefault="00000000">
      <w:pPr>
        <w:pStyle w:val="BodyText"/>
        <w:rPr>
          <w:rFonts w:cs="Times New Roman"/>
        </w:rPr>
      </w:pPr>
      <w:r w:rsidRPr="001A38C8">
        <w:rPr>
          <w:rFonts w:cs="Times New Roman"/>
        </w:rPr>
        <w:t>The distribution of grid-cell mean onset dates was shifted towards later dates under the wine-grape scenario. The most frequent interval was DOY 120–130 for table grapes and DOY 130–140 for wine grapes (</w:t>
      </w:r>
      <w:hyperlink w:anchor="Xf2c50318eeabfb1a0d45a7c051b2aa7fa0addd7">
        <w:r w:rsidR="00B350F7" w:rsidRPr="001A38C8">
          <w:rPr>
            <w:rStyle w:val="Hyperlink"/>
            <w:rFonts w:cs="Times New Roman"/>
          </w:rPr>
          <w:t>Figure 13c,d</w:t>
        </w:r>
      </w:hyperlink>
      <w:r w:rsidRPr="001A38C8">
        <w:rPr>
          <w:rFonts w:cs="Times New Roman"/>
        </w:rPr>
        <w:t>).</w:t>
      </w:r>
      <w:r>
        <w:rPr>
          <w:rFonts w:cs="Times New Roman"/>
        </w:rPr>
        <w:t xml:space="preserve"> Annual regional mean symptom-window midpoints ranged from DOY 115.7 to 145.6 for table grapes and from DOY 122.8 to 147.8 for wine grapes (Supplementary Figures S2 and S3).</w:t>
      </w:r>
    </w:p>
    <w:p w14:paraId="7BD58418" w14:textId="77777777" w:rsidR="00B350F7" w:rsidRPr="001A38C8" w:rsidRDefault="00000000">
      <w:pPr>
        <w:pStyle w:val="FigureImage"/>
        <w:jc w:val="center"/>
        <w:rPr>
          <w:rFonts w:cs="Times New Roman"/>
        </w:rPr>
      </w:pPr>
      <w:bookmarkStart w:id="37" w:name="fig:spring-weather-background"/>
      <w:r w:rsidRPr="001A38C8">
        <w:rPr>
          <w:rFonts w:cs="Times New Roman"/>
          <w:noProof/>
        </w:rPr>
        <w:drawing>
          <wp:inline distT="0" distB="0" distL="0" distR="0" wp14:anchorId="6CE84E45" wp14:editId="270F9585">
            <wp:extent cx="5334000" cy="3614973"/>
            <wp:effectExtent l="0" t="0" r="0" b="0"/>
            <wp:docPr id="81" name="Picture" descr="Figure 12"/>
            <wp:cNvGraphicFramePr/>
            <a:graphic xmlns:a="http://schemas.openxmlformats.org/drawingml/2006/main">
              <a:graphicData uri="http://schemas.openxmlformats.org/drawingml/2006/picture">
                <pic:pic xmlns:pic="http://schemas.openxmlformats.org/drawingml/2006/picture">
                  <pic:nvPicPr>
                    <pic:cNvPr id="82" name="Picture" descr="fig/figure_12.png"/>
                    <pic:cNvPicPr>
                      <a:picLocks noChangeAspect="1" noChangeArrowheads="1"/>
                    </pic:cNvPicPr>
                  </pic:nvPicPr>
                  <pic:blipFill>
                    <a:blip r:embed="rId21"/>
                    <a:stretch>
                      <a:fillRect/>
                    </a:stretch>
                  </pic:blipFill>
                  <pic:spPr bwMode="auto">
                    <a:xfrm>
                      <a:off x="0" y="0"/>
                      <a:ext cx="5334000" cy="3614973"/>
                    </a:xfrm>
                    <a:prstGeom prst="rect">
                      <a:avLst/>
                    </a:prstGeom>
                    <a:noFill/>
                    <a:ln w="9525">
                      <a:noFill/>
                      <a:headEnd/>
                      <a:tailEnd/>
                    </a:ln>
                  </pic:spPr>
                </pic:pic>
              </a:graphicData>
            </a:graphic>
          </wp:inline>
        </w:drawing>
      </w:r>
    </w:p>
    <w:bookmarkEnd w:id="37"/>
    <w:p w14:paraId="4939832F" w14:textId="77777777" w:rsidR="00B350F7" w:rsidRPr="001A38C8" w:rsidRDefault="00000000">
      <w:pPr>
        <w:pStyle w:val="ImageCaption"/>
        <w:jc w:val="center"/>
        <w:rPr>
          <w:rFonts w:cs="Times New Roman"/>
        </w:rPr>
      </w:pPr>
      <w:r w:rsidRPr="001A38C8">
        <w:rPr>
          <w:rFonts w:cs="Times New Roman"/>
        </w:rPr>
        <w:t xml:space="preserve">Figure 12: Spring meteorological conditions in Guangxi during 2000–2024 (March–May). (a–c) Grid-cell means for temperature, cumulative precipitation and nighttime high-humidity duration (relative humidity </w:t>
      </w:r>
      <m:oMath>
        <m:r>
          <w:rPr>
            <w:rFonts w:ascii="Cambria Math" w:hAnsi="Cambria Math" w:cs="Times New Roman"/>
          </w:rPr>
          <m:t>≥85%</m:t>
        </m:r>
      </m:oMath>
      <w:r w:rsidRPr="001A38C8">
        <w:rPr>
          <w:rFonts w:cs="Times New Roman"/>
        </w:rPr>
        <w:t>; 20:00–07:59 local time). (d–f) Annual regional grid means; shading indicates spatial 25th–75th percentile ranges and dashed lines indicate descriptive linear trends.</w:t>
      </w:r>
    </w:p>
    <w:p w14:paraId="3E6A7339" w14:textId="77777777" w:rsidR="00B350F7" w:rsidRPr="001A38C8" w:rsidRDefault="00000000">
      <w:pPr>
        <w:pStyle w:val="FigureImage"/>
        <w:jc w:val="center"/>
        <w:rPr>
          <w:rFonts w:cs="Times New Roman"/>
        </w:rPr>
      </w:pPr>
      <w:bookmarkStart w:id="38" w:name="Xf2c50318eeabfb1a0d45a7c051b2aa7fa0addd7"/>
      <w:r w:rsidRPr="001A38C8">
        <w:rPr>
          <w:rFonts w:cs="Times New Roman"/>
          <w:noProof/>
        </w:rPr>
        <w:lastRenderedPageBreak/>
        <w:drawing>
          <wp:inline distT="0" distB="0" distL="0" distR="0" wp14:anchorId="1BE7CABD" wp14:editId="265969B6">
            <wp:extent cx="5334000" cy="3665187"/>
            <wp:effectExtent l="0" t="0" r="0" b="0"/>
            <wp:docPr id="85" name="Picture" descr="Figure 13"/>
            <wp:cNvGraphicFramePr/>
            <a:graphic xmlns:a="http://schemas.openxmlformats.org/drawingml/2006/main">
              <a:graphicData uri="http://schemas.openxmlformats.org/drawingml/2006/picture">
                <pic:pic xmlns:pic="http://schemas.openxmlformats.org/drawingml/2006/picture">
                  <pic:nvPicPr>
                    <pic:cNvPr id="86" name="Picture" descr="fig/figure_13.png"/>
                    <pic:cNvPicPr>
                      <a:picLocks noChangeAspect="1" noChangeArrowheads="1"/>
                    </pic:cNvPicPr>
                  </pic:nvPicPr>
                  <pic:blipFill>
                    <a:blip r:embed="rId22"/>
                    <a:stretch>
                      <a:fillRect/>
                    </a:stretch>
                  </pic:blipFill>
                  <pic:spPr bwMode="auto">
                    <a:xfrm>
                      <a:off x="0" y="0"/>
                      <a:ext cx="5334000" cy="3665187"/>
                    </a:xfrm>
                    <a:prstGeom prst="rect">
                      <a:avLst/>
                    </a:prstGeom>
                    <a:noFill/>
                    <a:ln w="9525">
                      <a:noFill/>
                      <a:headEnd/>
                      <a:tailEnd/>
                    </a:ln>
                  </pic:spPr>
                </pic:pic>
              </a:graphicData>
            </a:graphic>
          </wp:inline>
        </w:drawing>
      </w:r>
    </w:p>
    <w:bookmarkEnd w:id="38"/>
    <w:p w14:paraId="14D320AF" w14:textId="77777777" w:rsidR="00B350F7" w:rsidRPr="001A38C8" w:rsidRDefault="00000000">
      <w:pPr>
        <w:pStyle w:val="ImageCaption"/>
        <w:jc w:val="center"/>
        <w:rPr>
          <w:rFonts w:cs="Times New Roman"/>
        </w:rPr>
      </w:pPr>
      <w:r w:rsidRPr="001A38C8">
        <w:rPr>
          <w:rFonts w:cs="Times New Roman"/>
        </w:rPr>
        <w:t>Figure 13: Mean first symptom-window midpoint (day of year, DOY) per grid cell in Guangxi during 2000–2024 under the table- and wine-grape scenarios.</w:t>
      </w:r>
    </w:p>
    <w:p w14:paraId="02999E4A" w14:textId="77777777" w:rsidR="00B350F7" w:rsidRPr="001A38C8" w:rsidRDefault="00000000">
      <w:pPr>
        <w:pStyle w:val="Heading2"/>
        <w:rPr>
          <w:rFonts w:ascii="Times New Roman" w:hAnsi="Times New Roman" w:cs="Times New Roman"/>
        </w:rPr>
      </w:pPr>
      <w:bookmarkStart w:id="39" w:name="Xf01e48e153358382980440b52191e7e3cb36ce5"/>
      <w:bookmarkEnd w:id="36"/>
      <w:r w:rsidRPr="001A38C8">
        <w:rPr>
          <w:rFonts w:ascii="Times New Roman" w:hAnsi="Times New Roman" w:cs="Times New Roman"/>
        </w:rPr>
        <w:t>3.5 Regional potential for fungicide savings (2000–2024)</w:t>
      </w:r>
    </w:p>
    <w:p w14:paraId="5A5A1FA6" w14:textId="77777777" w:rsidR="00B350F7" w:rsidRPr="001A38C8" w:rsidRDefault="00000000">
      <w:pPr>
        <w:pStyle w:val="FirstParagraph"/>
        <w:rPr>
          <w:rFonts w:cs="Times New Roman"/>
        </w:rPr>
      </w:pPr>
      <w:r w:rsidRPr="001A38C8">
        <w:rPr>
          <w:rFonts w:cs="Times New Roman"/>
        </w:rPr>
        <w:t>Across Guangxi, the grid-cell mean potential fungicide savings for 2000–2024 averaged approximately 3.5 applications per season under the table-grape scenario and 4.0 under the wine-grape scenario, a difference of 0.5 applications (</w:t>
      </w:r>
      <w:hyperlink w:anchor="X4938b1fdd1a98202e3dc218a93e702281b17c98">
        <w:r w:rsidR="00B350F7" w:rsidRPr="001A38C8">
          <w:rPr>
            <w:rStyle w:val="Hyperlink"/>
            <w:rFonts w:cs="Times New Roman"/>
          </w:rPr>
          <w:t>Figure 14a,b</w:t>
        </w:r>
      </w:hyperlink>
      <w:r w:rsidRPr="001A38C8">
        <w:rPr>
          <w:rFonts w:cs="Times New Roman"/>
        </w:rPr>
        <w:t>). Both scenarios showed higher saving potential in western Guangxi, particularly the northwest, and lower potential in eastern and southeastern Guangxi.</w:t>
      </w:r>
    </w:p>
    <w:p w14:paraId="4E7D07EF" w14:textId="77777777" w:rsidR="00B350F7" w:rsidRPr="001A38C8" w:rsidRDefault="00000000">
      <w:pPr>
        <w:pStyle w:val="BodyText"/>
        <w:rPr>
          <w:rFonts w:cs="Times New Roman"/>
        </w:rPr>
      </w:pPr>
      <w:r w:rsidRPr="001A38C8">
        <w:rPr>
          <w:rFonts w:cs="Times New Roman"/>
        </w:rPr>
        <w:t>The distribution of grid-cell mean savings was shifted towards higher values under the wine-grape scenario. The most frequent category was centred on three applications for table grapes and four applications for wine grapes (</w:t>
      </w:r>
      <w:hyperlink w:anchor="X4938b1fdd1a98202e3dc218a93e702281b17c98">
        <w:r w:rsidR="00B350F7" w:rsidRPr="001A38C8">
          <w:rPr>
            <w:rStyle w:val="Hyperlink"/>
            <w:rFonts w:cs="Times New Roman"/>
          </w:rPr>
          <w:t>Figure 14c,d</w:t>
        </w:r>
      </w:hyperlink>
      <w:r w:rsidRPr="001A38C8">
        <w:rPr>
          <w:rFonts w:cs="Times New Roman"/>
        </w:rPr>
        <w:t>).</w:t>
      </w:r>
      <w:r>
        <w:rPr>
          <w:rFonts w:cs="Times New Roman"/>
        </w:rPr>
        <w:t xml:space="preserve"> Annual regional mean potentially avoidable applications ranged from 2.30 to 4.82 under the table-grape scenario and from 2.72 to 5.17 under the wine-grape scenario (Supplementary Figures S4 and S5).</w:t>
      </w:r>
    </w:p>
    <w:p w14:paraId="2DA64A7F" w14:textId="77777777" w:rsidR="00B350F7" w:rsidRPr="001A38C8" w:rsidRDefault="00000000">
      <w:pPr>
        <w:pStyle w:val="FigureImage"/>
        <w:jc w:val="center"/>
        <w:rPr>
          <w:rFonts w:cs="Times New Roman"/>
        </w:rPr>
      </w:pPr>
      <w:bookmarkStart w:id="40" w:name="X4938b1fdd1a98202e3dc218a93e702281b17c98"/>
      <w:r w:rsidRPr="001A38C8">
        <w:rPr>
          <w:rFonts w:cs="Times New Roman"/>
          <w:noProof/>
        </w:rPr>
        <w:lastRenderedPageBreak/>
        <w:drawing>
          <wp:inline distT="0" distB="0" distL="0" distR="0" wp14:anchorId="4F3935AC" wp14:editId="60CCD70E">
            <wp:extent cx="5334000" cy="3691621"/>
            <wp:effectExtent l="0" t="0" r="0" b="0"/>
            <wp:docPr id="90" name="Picture" descr="Figure 14"/>
            <wp:cNvGraphicFramePr/>
            <a:graphic xmlns:a="http://schemas.openxmlformats.org/drawingml/2006/main">
              <a:graphicData uri="http://schemas.openxmlformats.org/drawingml/2006/picture">
                <pic:pic xmlns:pic="http://schemas.openxmlformats.org/drawingml/2006/picture">
                  <pic:nvPicPr>
                    <pic:cNvPr id="91" name="Picture" descr="fig/figure_14.png"/>
                    <pic:cNvPicPr>
                      <a:picLocks noChangeAspect="1" noChangeArrowheads="1"/>
                    </pic:cNvPicPr>
                  </pic:nvPicPr>
                  <pic:blipFill>
                    <a:blip r:embed="rId23"/>
                    <a:stretch>
                      <a:fillRect/>
                    </a:stretch>
                  </pic:blipFill>
                  <pic:spPr bwMode="auto">
                    <a:xfrm>
                      <a:off x="0" y="0"/>
                      <a:ext cx="5334000" cy="3691621"/>
                    </a:xfrm>
                    <a:prstGeom prst="rect">
                      <a:avLst/>
                    </a:prstGeom>
                    <a:noFill/>
                    <a:ln w="9525">
                      <a:noFill/>
                      <a:headEnd/>
                      <a:tailEnd/>
                    </a:ln>
                  </pic:spPr>
                </pic:pic>
              </a:graphicData>
            </a:graphic>
          </wp:inline>
        </w:drawing>
      </w:r>
    </w:p>
    <w:bookmarkEnd w:id="40"/>
    <w:p w14:paraId="5F84A87A" w14:textId="77777777" w:rsidR="00B350F7" w:rsidRPr="001A38C8" w:rsidRDefault="00000000">
      <w:pPr>
        <w:pStyle w:val="ImageCaption"/>
        <w:jc w:val="center"/>
        <w:rPr>
          <w:rFonts w:cs="Times New Roman"/>
        </w:rPr>
      </w:pPr>
      <w:r w:rsidRPr="001A38C8">
        <w:rPr>
          <w:rFonts w:cs="Times New Roman"/>
        </w:rPr>
        <w:t>Figure 14: Mean potential fungicide savings (applications per season) per grid cell in Guangxi during 2000–2024 under the table- and wine-grape scenarios. Note: The display range is restricted to 1–6 applications. Eight table-grape grids and 16 wine-grape grids exceed six applications and are treated as outlying events; their values beyond six are not displayed. Figure statistics use values bounded to the display range; the regional means reported in the text include all original values.</w:t>
      </w:r>
    </w:p>
    <w:p w14:paraId="7F402EF4" w14:textId="77777777" w:rsidR="00B350F7" w:rsidRPr="001A38C8" w:rsidRDefault="00000000">
      <w:pPr>
        <w:pStyle w:val="Heading1"/>
        <w:rPr>
          <w:rFonts w:ascii="Times New Roman" w:hAnsi="Times New Roman" w:cs="Times New Roman"/>
        </w:rPr>
      </w:pPr>
      <w:bookmarkStart w:id="41" w:name="discussion"/>
      <w:bookmarkEnd w:id="28"/>
      <w:bookmarkEnd w:id="39"/>
      <w:r w:rsidRPr="001A38C8">
        <w:rPr>
          <w:rFonts w:ascii="Times New Roman" w:hAnsi="Times New Roman" w:cs="Times New Roman"/>
        </w:rPr>
        <w:t>4 DISCUSSION</w:t>
      </w:r>
    </w:p>
    <w:p w14:paraId="5C56304A" w14:textId="77777777" w:rsidR="00B350F7" w:rsidRPr="001A38C8" w:rsidRDefault="00000000">
      <w:pPr>
        <w:pStyle w:val="Heading2"/>
        <w:rPr>
          <w:rFonts w:ascii="Times New Roman" w:hAnsi="Times New Roman" w:cs="Times New Roman"/>
        </w:rPr>
      </w:pPr>
      <w:bookmarkStart w:id="42" w:name="Xec320372102dba50afd54ba63745676d134bcec"/>
      <w:r w:rsidRPr="001A38C8">
        <w:rPr>
          <w:rFonts w:ascii="Times New Roman" w:hAnsi="Times New Roman" w:cs="Times New Roman"/>
        </w:rPr>
        <w:t>4.1 Airborne inoculum and first seasonal symptom onset under double cropping</w:t>
      </w:r>
    </w:p>
    <w:p w14:paraId="71876511" w14:textId="77777777" w:rsidR="00B350F7" w:rsidRPr="001A38C8" w:rsidRDefault="00000000">
      <w:pPr>
        <w:pStyle w:val="FirstParagraph"/>
        <w:rPr>
          <w:rFonts w:cs="Times New Roman"/>
        </w:rPr>
      </w:pPr>
      <w:r w:rsidRPr="001A38C8">
        <w:rPr>
          <w:rFonts w:cs="Times New Roman"/>
        </w:rPr>
        <w:t>In temperate vineyards, winter dormancy interrupts the availability of green host tissue, and overwintered oospores provide an important source of initial inoculum.</w:t>
      </w:r>
      <w:hyperlink w:anchor="Reference_04" w:history="1">
        <w:r>
          <w:rPr>
            <w:rFonts w:cs="Times New Roman"/>
            <w:vertAlign w:val="superscript"/>
          </w:rPr>
          <w:t>4</w:t>
        </w:r>
      </w:hyperlink>
      <w:r w:rsidRPr="001A38C8">
        <w:rPr>
          <w:rFonts w:cs="Times New Roman"/>
        </w:rPr>
        <w:t xml:space="preserve"> In subtropical double-cropping regions, however, successive production cycles can maintain green tissues in neighbouring vineyards even when an individual vineyard undergoes leaf fall. This can allow input of asexually produced sporangia before lesions appear in the new growing season, consistent with the importance of asexual infection reported in warm viticultural regions.</w:t>
      </w:r>
      <w:hyperlink w:anchor="Reference_13" w:history="1">
        <w:r>
          <w:rPr>
            <w:rFonts w:cs="Times New Roman"/>
            <w:vertAlign w:val="superscript"/>
          </w:rPr>
          <w:t>13</w:t>
        </w:r>
      </w:hyperlink>
      <w:r>
        <w:rPr>
          <w:rFonts w:cs="Times New Roman"/>
          <w:vertAlign w:val="superscript"/>
        </w:rPr>
        <w:t>,</w:t>
      </w:r>
      <w:hyperlink w:anchor="Reference_15" w:history="1">
        <w:r>
          <w:rPr>
            <w:rFonts w:cs="Times New Roman"/>
            <w:vertAlign w:val="superscript"/>
          </w:rPr>
          <w:t>15</w:t>
        </w:r>
      </w:hyperlink>
      <w:r w:rsidRPr="001A38C8">
        <w:rPr>
          <w:rFonts w:cs="Times New Roman"/>
        </w:rPr>
        <w:t xml:space="preserve"> Sporangia were captured before the first symptom-positive assessment in all six site–years (</w:t>
      </w:r>
      <w:hyperlink w:anchor="X3dd1693b9934f606fb510edaa0fbc91d71c8b41">
        <w:r w:rsidR="00B350F7" w:rsidRPr="001A38C8">
          <w:rPr>
            <w:rStyle w:val="Hyperlink"/>
            <w:rFonts w:cs="Times New Roman"/>
          </w:rPr>
          <w:t>Figure 8</w:t>
        </w:r>
      </w:hyperlink>
      <w:r w:rsidRPr="001A38C8">
        <w:rPr>
          <w:rFonts w:cs="Times New Roman"/>
        </w:rPr>
        <w:t xml:space="preserve">), confirming the widespread occurrence of external sporangial input across the monitored site-years. However, this study did not trace </w:t>
      </w:r>
      <w:r w:rsidRPr="001A38C8">
        <w:rPr>
          <w:rFonts w:cs="Times New Roman"/>
        </w:rPr>
        <w:lastRenderedPageBreak/>
        <w:t>the source vineyards of the captured sporangia, and a potential contribution from oospores cannot be entirely excluded. A limited role for oospores under these conditions remains possible, given evidence of their formation and germination in southern Brazil.</w:t>
      </w:r>
      <w:hyperlink w:anchor="Reference_28" w:history="1">
        <w:r>
          <w:rPr>
            <w:rFonts w:cs="Times New Roman"/>
            <w:vertAlign w:val="superscript"/>
          </w:rPr>
          <w:t>28</w:t>
        </w:r>
      </w:hyperlink>
    </w:p>
    <w:p w14:paraId="723D2360" w14:textId="77777777" w:rsidR="00B350F7" w:rsidRPr="001A38C8" w:rsidRDefault="00000000">
      <w:pPr>
        <w:pStyle w:val="BodyText"/>
        <w:rPr>
          <w:rFonts w:cs="Times New Roman"/>
        </w:rPr>
      </w:pPr>
      <w:r w:rsidRPr="001A38C8">
        <w:rPr>
          <w:rFonts w:cs="Times New Roman"/>
        </w:rPr>
        <w:t>Earlier sporangial detection did not consistently precede earlier disease onset. Nanning 2023 had earlier capture but later symptoms than Nanning 2024, with detection-to-assessment intervals of 42 and 9 days, respectively; Guilin 2022 showed a 43-day interval. In Hechi, similar symptom dates in 2022 and 2023 followed different capture timing and counts, whereas similar first capture dates in 2022 and 2024 preceded symptom assessments two weeks apart. These contrasts indicate that neither first detection nor maximum captured count alone can explain symptom onset; interpretation must also account for weather conditions and host susceptibility, consistent with the classical disease triangle framework.</w:t>
      </w:r>
      <w:hyperlink w:anchor="Reference_06" w:history="1">
        <w:r>
          <w:rPr>
            <w:rFonts w:cs="Times New Roman"/>
            <w:vertAlign w:val="superscript"/>
          </w:rPr>
          <w:t>6</w:t>
        </w:r>
      </w:hyperlink>
    </w:p>
    <w:p w14:paraId="2E8310CA" w14:textId="77777777" w:rsidR="00B350F7" w:rsidRPr="001A38C8" w:rsidRDefault="00000000">
      <w:pPr>
        <w:pStyle w:val="Heading2"/>
        <w:rPr>
          <w:rFonts w:ascii="Times New Roman" w:hAnsi="Times New Roman" w:cs="Times New Roman"/>
        </w:rPr>
      </w:pPr>
      <w:bookmarkStart w:id="43" w:name="model-enhancement"/>
      <w:bookmarkEnd w:id="42"/>
      <w:r w:rsidRPr="001A38C8">
        <w:rPr>
          <w:rFonts w:ascii="Times New Roman" w:hAnsi="Times New Roman" w:cs="Times New Roman"/>
        </w:rPr>
        <w:t>4.2 Model performance and improvement</w:t>
      </w:r>
    </w:p>
    <w:p w14:paraId="7527D30C" w14:textId="77777777" w:rsidR="00B350F7" w:rsidRPr="001A38C8" w:rsidRDefault="00000000">
      <w:pPr>
        <w:pStyle w:val="FirstParagraph"/>
        <w:rPr>
          <w:rFonts w:cs="Times New Roman"/>
        </w:rPr>
      </w:pPr>
      <w:r w:rsidRPr="001A38C8">
        <w:rPr>
          <w:rFonts w:cs="Times New Roman"/>
        </w:rPr>
        <w:t>FSIM achieved good predictive performance, with a cross-validated mean absolute error of 5.67 d. Incorporating spore-pressure dynamics into FSIM-S further reduced the error to 3.83 d, a reduction of 32.4% (</w:t>
      </w:r>
      <w:hyperlink w:anchor="fig:fsim-error-metrics">
        <w:r w:rsidR="00B350F7" w:rsidRPr="001A38C8">
          <w:rPr>
            <w:rStyle w:val="Hyperlink"/>
            <w:rFonts w:cs="Times New Roman"/>
          </w:rPr>
          <w:t>Figure 10</w:t>
        </w:r>
      </w:hyperlink>
      <w:r w:rsidRPr="001A38C8">
        <w:rPr>
          <w:rFonts w:cs="Times New Roman"/>
        </w:rPr>
        <w:t>). Because both models retain the same infection-to-symptom core framework, these results indicate that inoculum availability carries information beyond meteorological suitability alone and can improve predictive performance.</w:t>
      </w:r>
      <w:hyperlink w:anchor="Reference_09" w:history="1">
        <w:r>
          <w:rPr>
            <w:rFonts w:cs="Times New Roman"/>
            <w:vertAlign w:val="superscript"/>
          </w:rPr>
          <w:t>9</w:t>
        </w:r>
      </w:hyperlink>
    </w:p>
    <w:p w14:paraId="13D86002" w14:textId="77777777" w:rsidR="00B350F7" w:rsidRPr="001A38C8" w:rsidRDefault="00000000">
      <w:pPr>
        <w:pStyle w:val="BodyText"/>
        <w:rPr>
          <w:rFonts w:cs="Times New Roman"/>
        </w:rPr>
      </w:pPr>
      <w:r w:rsidRPr="001A38C8">
        <w:rPr>
          <w:rFonts w:cs="Times New Roman"/>
        </w:rPr>
        <w:t>The main methodological advance is the representation of seasonal initiation when the inoculum source is not synchronized with the local crop cycle. Models beginning with germinating oospores or visible lesions encode different starting conditions,</w:t>
      </w:r>
      <w:hyperlink w:anchor="Reference_08" w:history="1">
        <w:r>
          <w:rPr>
            <w:rFonts w:cs="Times New Roman"/>
            <w:vertAlign w:val="superscript"/>
          </w:rPr>
          <w:t>8</w:t>
        </w:r>
      </w:hyperlink>
      <w:r>
        <w:rPr>
          <w:rFonts w:cs="Times New Roman"/>
          <w:vertAlign w:val="superscript"/>
        </w:rPr>
        <w:t>,</w:t>
      </w:r>
      <w:hyperlink w:anchor="Reference_10" w:history="1">
        <w:r>
          <w:rPr>
            <w:rFonts w:cs="Times New Roman"/>
            <w:vertAlign w:val="superscript"/>
          </w:rPr>
          <w:t>10</w:t>
        </w:r>
      </w:hyperlink>
      <w:r w:rsidRPr="001A38C8">
        <w:rPr>
          <w:rFonts w:cs="Times New Roman"/>
        </w:rPr>
        <w:t xml:space="preserve"> whereas FSIM permits recurrent sporangial exposure before symptoms appear in the target vineyard. Tracking each cohort through attached survival, dispersal, airborne survival and deposition preserves the distinction between inoculum supply and successful infection. FSIM-S then constrains supply at cohort generation rather than shifting symptom dates after simulation. This structure gives the monitoring signal an explicit biological role and retains weather-</w:t>
      </w:r>
      <w:r w:rsidRPr="001A38C8">
        <w:rPr>
          <w:rFonts w:cs="Times New Roman"/>
        </w:rPr>
        <w:lastRenderedPageBreak/>
        <w:t>dependent infection and incubation as separate filters. Its value in double-cropping systems is therefore the ability to represent a regional inoculum supply that may persist while susceptibility develops anew within an individual vineyard.</w:t>
      </w:r>
    </w:p>
    <w:p w14:paraId="52BEA379" w14:textId="77777777" w:rsidR="00B350F7" w:rsidRPr="001A38C8" w:rsidRDefault="00000000">
      <w:pPr>
        <w:pStyle w:val="BodyText"/>
        <w:rPr>
          <w:rFonts w:cs="Times New Roman"/>
        </w:rPr>
      </w:pPr>
      <w:r w:rsidRPr="001A38C8">
        <w:rPr>
          <w:rFonts w:cs="Times New Roman"/>
        </w:rPr>
        <w:t>The error pattern indicates that observation constraints reduce some timing mismatches without resolving all causes of premature onset. Validation RMSE decreased by 14.9%, less than the 32.4% decrease in MAE, and the 14-day early error in Hechi 2022 persisted. The remaining large error warrants targeted examination of inoculum viability, local wetness and host susceptibility, rather than assuming that more sporangial detections necessarily improve prediction. Furthermore, the three-day assessment schedule sets the resolution of the observed onset windows: zero interval error establishes temporal compatibility, not exact daily agreement. Prospective tests should therefore pair spore monitoring with direct leaf-wetness measurements and frequent symptom assessments to determine whether the improvement reflects better identification of infectious exposure and remains useful at the timescale of management decisions.</w:t>
      </w:r>
    </w:p>
    <w:p w14:paraId="7692387D" w14:textId="77777777" w:rsidR="00B350F7" w:rsidRPr="001A38C8" w:rsidRDefault="00000000">
      <w:pPr>
        <w:pStyle w:val="BodyText"/>
        <w:rPr>
          <w:rFonts w:cs="Times New Roman"/>
        </w:rPr>
      </w:pPr>
      <w:r w:rsidRPr="001A38C8">
        <w:rPr>
          <w:rFonts w:cs="Times New Roman"/>
        </w:rPr>
        <w:t>The distinction between airborne detection and effective inoculum is central to interpreting this gain. Brischetto et al.</w:t>
      </w:r>
      <w:hyperlink w:anchor="Reference_09" w:history="1">
        <w:r>
          <w:rPr>
            <w:rFonts w:cs="Times New Roman"/>
            <w:vertAlign w:val="superscript"/>
          </w:rPr>
          <w:t>9</w:t>
        </w:r>
      </w:hyperlink>
      <w:r w:rsidRPr="001A38C8">
        <w:rPr>
          <w:rFonts w:cs="Times New Roman"/>
        </w:rPr>
        <w:t xml:space="preserve"> found that sporangium counts adjusted for weather-dependent survival were more closely associated with infection than total captured counts, and were particularly useful for identifying periods without infection. Thus, monitoring is most informative when interpreted together with the conditions governing survival and infection. </w:t>
      </w:r>
      <w:r w:rsidRPr="001A38C8">
        <w:rPr>
          <w:rFonts w:cs="Times New Roman"/>
        </w:rPr>
        <w:lastRenderedPageBreak/>
        <w:t>In FSIM-S, the suppression associated with zero captures and the increase associated with positive spore pressure provide complementary constraints on inoculum availability, while subsequent biological processes remain weather dependent. These results demonstrate the value of deploying spore traps and maintaining continuous monitoring to further refine the model for early-season disease prevention.</w:t>
      </w:r>
      <w:hyperlink w:anchor="Reference_09" w:history="1">
        <w:r>
          <w:rPr>
            <w:rFonts w:cs="Times New Roman"/>
            <w:vertAlign w:val="superscript"/>
          </w:rPr>
          <w:t>9</w:t>
        </w:r>
      </w:hyperlink>
      <w:r>
        <w:rPr>
          <w:rFonts w:cs="Times New Roman"/>
          <w:vertAlign w:val="superscript"/>
        </w:rPr>
        <w:t>,</w:t>
      </w:r>
      <w:hyperlink w:anchor="Reference_29" w:history="1">
        <w:r>
          <w:rPr>
            <w:rFonts w:cs="Times New Roman"/>
            <w:vertAlign w:val="superscript"/>
          </w:rPr>
          <w:t>29</w:t>
        </w:r>
      </w:hyperlink>
      <w:r w:rsidRPr="001A38C8">
        <w:rPr>
          <w:rFonts w:cs="Times New Roman"/>
        </w:rPr>
        <w:lastRenderedPageBreak/>
        <w:t xml:space="preserve"> However, zero captures indicate non-detection rather than confirmed absence, and captured sporangia are not necessarily viable. Relative pressure derived from passive traps should therefore not be interpreted as an absolute concentration of infectious inoculum or assigned thresholds established with volumetric samplers.</w:t>
      </w:r>
    </w:p>
    <w:p w14:paraId="628E03F3" w14:textId="77777777" w:rsidR="00B350F7" w:rsidRPr="001A38C8" w:rsidRDefault="00000000">
      <w:pPr>
        <w:pStyle w:val="BodyText"/>
        <w:rPr>
          <w:rFonts w:cs="Times New Roman"/>
        </w:rPr>
      </w:pPr>
      <w:r w:rsidRPr="001A38C8">
        <w:rPr>
          <w:rFonts w:cs="Times New Roman"/>
        </w:rPr>
        <w:t>Recent developments strengthen the case for connecting sporangium monitoring with disease models. Muthukumar et al.</w:t>
      </w:r>
      <w:hyperlink w:anchor="Reference_29" w:history="1">
        <w:r>
          <w:rPr>
            <w:rFonts w:cs="Times New Roman"/>
            <w:vertAlign w:val="superscript"/>
          </w:rPr>
          <w:t>29</w:t>
        </w:r>
      </w:hyperlink>
      <w:r w:rsidRPr="001A38C8">
        <w:rPr>
          <w:rFonts w:cs="Times New Roman"/>
        </w:rPr>
        <w:t xml:space="preserve"> detected airborne </w:t>
      </w:r>
      <w:r w:rsidRPr="001A38C8">
        <w:rPr>
          <w:rFonts w:cs="Times New Roman"/>
          <w:i/>
          <w:iCs/>
        </w:rPr>
        <w:t>P. viticola</w:t>
      </w:r>
      <w:r w:rsidRPr="001A38C8">
        <w:rPr>
          <w:rFonts w:cs="Times New Roman"/>
        </w:rPr>
        <w:t xml:space="preserve"> using impaction traps and qPCR 10–14 days before visible symptoms. Malvessi Cattani et al.</w:t>
      </w:r>
      <w:hyperlink w:anchor="Reference_30" w:history="1">
        <w:r>
          <w:rPr>
            <w:rFonts w:cs="Times New Roman"/>
            <w:vertAlign w:val="superscript"/>
          </w:rPr>
          <w:t>30</w:t>
        </w:r>
      </w:hyperlink>
      <w:r w:rsidRPr="001A38C8">
        <w:rPr>
          <w:rFonts w:cs="Times New Roman"/>
        </w:rPr>
        <w:t xml:space="preserve"> used automated air-flow cytometry, although agreement with reference measurements was weaker during early leaf development and flowering than later in the season. These findings highlight both the opportunity for earlier biological information and the difficulty of measuring sparse early-season inoculum. FSIM-S connects this measurable exposure signal with survival, dispersal, deposition, infection and symptom development, adding observation-based constraints on inoculum availability to predict first onset in subtropical double-cropping vineyards.</w:t>
      </w:r>
    </w:p>
    <w:p w14:paraId="7D3A7ABC" w14:textId="77777777" w:rsidR="00B350F7" w:rsidRPr="001A38C8" w:rsidRDefault="00000000">
      <w:pPr>
        <w:pStyle w:val="Heading2"/>
        <w:rPr>
          <w:rFonts w:ascii="Times New Roman" w:hAnsi="Times New Roman" w:cs="Times New Roman"/>
        </w:rPr>
      </w:pPr>
      <w:bookmarkStart w:id="44" w:name="X2194b6b5f4a03b2b9c0853f0623372011357e45"/>
      <w:bookmarkEnd w:id="43"/>
      <w:r w:rsidRPr="001A38C8">
        <w:rPr>
          <w:rFonts w:ascii="Times New Roman" w:hAnsi="Times New Roman" w:cs="Times New Roman"/>
        </w:rPr>
        <w:t>4.3 Regional implications for disease management</w:t>
      </w:r>
    </w:p>
    <w:p w14:paraId="478368FF" w14:textId="77777777" w:rsidR="00B350F7" w:rsidRPr="001A38C8" w:rsidRDefault="00000000">
      <w:pPr>
        <w:pStyle w:val="FirstParagraph"/>
        <w:rPr>
          <w:rFonts w:cs="Times New Roman"/>
        </w:rPr>
      </w:pPr>
      <w:r w:rsidRPr="001A38C8">
        <w:rPr>
          <w:rFonts w:cs="Times New Roman"/>
        </w:rPr>
        <w:t xml:space="preserve">The mean east–west contrast in symptom onset under both cultivation scenarios </w:t>
      </w:r>
      <w:r w:rsidRPr="001A38C8">
        <w:rPr>
          <w:rFonts w:cs="Times New Roman"/>
        </w:rPr>
        <w:lastRenderedPageBreak/>
        <w:t>(</w:t>
      </w:r>
      <w:hyperlink w:anchor="Xf2c50318eeabfb1a0d45a7c051b2aa7fa0addd7">
        <w:r w:rsidR="00B350F7" w:rsidRPr="001A38C8">
          <w:rPr>
            <w:rStyle w:val="Hyperlink"/>
            <w:rFonts w:cs="Times New Roman"/>
          </w:rPr>
          <w:t>Figure 13</w:t>
        </w:r>
      </w:hyperlink>
      <w:r w:rsidRPr="001A38C8">
        <w:rPr>
          <w:rFonts w:cs="Times New Roman"/>
        </w:rPr>
        <w:t>) indicates that a single province-wide onset date would obscure locally different disease trajectories. Earlier eastern and southeastern onset broadly coincided with greater spring rainfall and longer nighttime high-humidity duration (</w:t>
      </w:r>
      <w:hyperlink w:anchor="fig:spring-weather-background">
        <w:r w:rsidR="00B350F7" w:rsidRPr="001A38C8">
          <w:rPr>
            <w:rStyle w:val="Hyperlink"/>
            <w:rFonts w:cs="Times New Roman"/>
          </w:rPr>
          <w:t>Figure 12a–c</w:t>
        </w:r>
      </w:hyperlink>
      <w:r w:rsidRPr="001A38C8">
        <w:rPr>
          <w:rFonts w:cs="Times New Roman"/>
        </w:rPr>
        <w:t>). Humid nights support recurrent sporulation and sporangial survival, while suitable rain events enable deposition and subsequent infection.</w:t>
      </w:r>
      <w:hyperlink w:anchor="Reference_08" w:history="1">
        <w:r>
          <w:rPr>
            <w:rFonts w:cs="Times New Roman"/>
            <w:vertAlign w:val="superscript"/>
          </w:rPr>
          <w:t>8</w:t>
        </w:r>
      </w:hyperlink>
      <w:r>
        <w:rPr>
          <w:rFonts w:cs="Times New Roman"/>
          <w:vertAlign w:val="superscript"/>
        </w:rPr>
        <w:t>,</w:t>
      </w:r>
      <w:hyperlink w:anchor="Reference_10" w:history="1">
        <w:r>
          <w:rPr>
            <w:rFonts w:cs="Times New Roman"/>
            <w:vertAlign w:val="superscript"/>
          </w:rPr>
          <w:t>10</w:t>
        </w:r>
      </w:hyperlink>
      <w:r w:rsidRPr="001A38C8">
        <w:rPr>
          <w:rFonts w:cs="Times New Roman"/>
        </w:rPr>
        <w:t xml:space="preserve"> Lower western rainfall may delay the coincidence of viable inoculum, leaf wetness and susceptible host tissue. These results show that FSIM can use hourly weather data and host development information to simulate differences in symptom onset across space and time, indicating potential for broader application and further validation.</w:t>
      </w:r>
    </w:p>
    <w:p w14:paraId="175FCB4B" w14:textId="77777777" w:rsidR="00B350F7" w:rsidRPr="001A38C8" w:rsidRDefault="00000000">
      <w:pPr>
        <w:pStyle w:val="BodyText"/>
        <w:rPr>
          <w:rFonts w:cs="Times New Roman"/>
        </w:rPr>
      </w:pPr>
      <w:r w:rsidRPr="001A38C8">
        <w:rPr>
          <w:rFonts w:cs="Times New Roman"/>
        </w:rPr>
        <w:t>These spatial patterns are best interpreted as the outcome of sequential biological filters rather than a response to a single climatic variable. The effective deposition rainfall threshold dominated the sensitivity analysis, while the sporulation humidity, wind-speed and heavy-rain wash-off thresholds had smaller total-order effects (</w:t>
      </w:r>
      <w:hyperlink w:anchor="X415e9945071b9c01cdaa92cf0c5b2ce9c10bf98">
        <w:r w:rsidR="00B350F7" w:rsidRPr="001A38C8">
          <w:rPr>
            <w:rStyle w:val="Hyperlink"/>
            <w:rFonts w:cs="Times New Roman"/>
          </w:rPr>
          <w:t>Figure 9</w:t>
        </w:r>
      </w:hyperlink>
      <w:r w:rsidRPr="001A38C8">
        <w:rPr>
          <w:rFonts w:cs="Times New Roman"/>
        </w:rPr>
        <w:t>), highlighting the roles of inoculum deposition, humid-night sporulation and dispersal in simulated onset. Within the model, rainfall can enable deposition or remove airborne cohorts under the assumed wash-off rule; seasonal totals alone therefore cannot identify individual infection opportunities. Similarly, higher southern temperatures need not produce the earliest symptoms if moisture or host susceptibility is limiting. These mechanisms provide a coherent explanation for the spatial contrasts in symptom onset, indicating that FSIM can effectively capture the effects of spatiotemporal variation in influential variables.</w:t>
      </w:r>
    </w:p>
    <w:p w14:paraId="5106A8C1" w14:textId="77777777" w:rsidR="00B350F7" w:rsidRPr="001A38C8" w:rsidRDefault="00000000">
      <w:pPr>
        <w:pStyle w:val="BodyText"/>
        <w:rPr>
          <w:rFonts w:cs="Times New Roman"/>
        </w:rPr>
      </w:pPr>
      <w:r>
        <w:t xml:space="preserve">Annual reconstructions show that the timing and spatial extent of early symptom expression vary among seasons under both cultivation scenarios (Supplementary Figures S2 and S3). The long-term mean maps therefore provide a regional background for surveillance, while seasonal decisions also depend on the timing of individual weather events and host development. The interannual meteorological variability in </w:t>
      </w:r>
      <w:hyperlink w:anchor="fig:spring-weather-background" w:history="1">
        <w:r>
          <w:t>Figure 12d–f</w:t>
        </w:r>
      </w:hyperlink>
      <w:r>
        <w:t xml:space="preserve"> provides context for these differences, although the contributions of individual drivers were not separated. Because the process framework is evaluated hourly at each grid, current-season weather and meteorological forecasts could support repeated updates of regional onset windows and season-specific surveillance, subject to forecast uncertainty and operational evaluation.</w:t>
      </w:r>
    </w:p>
    <w:p w14:paraId="0784C9E9" w14:textId="77777777" w:rsidR="00B350F7" w:rsidRPr="001A38C8" w:rsidRDefault="00000000">
      <w:pPr>
        <w:pStyle w:val="BodyText"/>
        <w:rPr>
          <w:rFonts w:cs="Times New Roman"/>
        </w:rPr>
      </w:pPr>
      <w:r w:rsidRPr="001A38C8">
        <w:rPr>
          <w:rFonts w:cs="Times New Roman"/>
        </w:rPr>
        <w:lastRenderedPageBreak/>
        <w:t>The spatial correspondence between later symptom onset and greater potential spray savings has a clear disease-management basis. Compared with a fixed calendar-based fungicide programme, later symptom onset in western and northwestern Guangxi leaves more early applications potentially avoidable (</w:t>
      </w:r>
      <w:hyperlink w:anchor="X4938b1fdd1a98202e3dc218a93e702281b17c98">
        <w:r w:rsidR="00B350F7" w:rsidRPr="001A38C8">
          <w:rPr>
            <w:rStyle w:val="Hyperlink"/>
            <w:rFonts w:cs="Times New Roman"/>
          </w:rPr>
          <w:t>Figure 14</w:t>
        </w:r>
      </w:hyperlink>
      <w:r w:rsidRPr="001A38C8">
        <w:rPr>
          <w:rFonts w:cs="Times New Roman"/>
        </w:rPr>
        <w:t>). Full-grid means of 3.5 and 4.0 applications are scenario estimates, not measured reductions or vineyard-area-weighted totals.</w:t>
      </w:r>
      <w:r>
        <w:rPr>
          <w:rFonts w:cs="Times New Roman"/>
        </w:rPr>
        <w:t xml:space="preserve"> The annual maps further show that the spatial extent of high saving potential changes among years (Supplementary Figures S4 and S5); the multi-year means should therefore not be treated as fixed annual reduction targets. Together, these results highlight FSIM’s potential to guide reductions in fungicide applications under regional cultivation scenarios.</w:t>
      </w:r>
    </w:p>
    <w:p w14:paraId="0C42A24D" w14:textId="77777777" w:rsidR="00B350F7" w:rsidRPr="001A38C8" w:rsidRDefault="00000000">
      <w:pPr>
        <w:pStyle w:val="BodyText"/>
        <w:rPr>
          <w:rFonts w:cs="Times New Roman"/>
        </w:rPr>
      </w:pPr>
      <w:r w:rsidRPr="001A38C8">
        <w:rPr>
          <w:rFonts w:cs="Times New Roman"/>
        </w:rPr>
        <w:t>For the grape industry, this spatial and annual differentiation could support earlier surveillance and protection readiness in zones with earlier onset, while identifying where routine early applications warrant closer reassessment. Regional warning services could combine a common weather-driven framework with local observations to prioritize scouting, technical advice and application resources. The practical aim is to concentrate protection around locally relevant infection periods while limiting poorly timed inputs, rather than applying a uniform reduction target across the province.</w:t>
      </w:r>
    </w:p>
    <w:p w14:paraId="73590F5A" w14:textId="77777777" w:rsidR="00B350F7" w:rsidRPr="001A38C8" w:rsidRDefault="00000000">
      <w:pPr>
        <w:pStyle w:val="Heading2"/>
        <w:rPr>
          <w:rFonts w:ascii="Times New Roman" w:hAnsi="Times New Roman" w:cs="Times New Roman"/>
        </w:rPr>
      </w:pPr>
      <w:bookmarkStart w:id="45" w:name="limitations-and-future-directions"/>
      <w:bookmarkEnd w:id="44"/>
      <w:r w:rsidRPr="001A38C8">
        <w:rPr>
          <w:rFonts w:ascii="Times New Roman" w:hAnsi="Times New Roman" w:cs="Times New Roman"/>
        </w:rPr>
        <w:t>4.4 Limitations and future directions</w:t>
      </w:r>
    </w:p>
    <w:p w14:paraId="3AAEF66B" w14:textId="77777777" w:rsidR="00B350F7" w:rsidRPr="001A38C8" w:rsidRDefault="00000000">
      <w:pPr>
        <w:pStyle w:val="FirstParagraph"/>
        <w:rPr>
          <w:rFonts w:cs="Times New Roman"/>
        </w:rPr>
      </w:pPr>
      <w:r w:rsidRPr="001A38C8">
        <w:rPr>
          <w:rFonts w:cs="Times New Roman"/>
        </w:rPr>
        <w:t>This initial framework relies on observations from two commercial vineyards and one experimental vineyard over three growing seasons. Additional regions, cultivars and management systems would broaden calibration and evaluation. Guilin 2022, with relatively low April humidity and uneven rainfall, illustrates conditions that may delay or suppress infection establishment and help test whether the model distinguishes inoculum presence from conditions permitting infection.</w:t>
      </w:r>
    </w:p>
    <w:p w14:paraId="653030F9" w14:textId="77777777" w:rsidR="00B350F7" w:rsidRPr="001A38C8" w:rsidRDefault="00000000">
      <w:pPr>
        <w:pStyle w:val="BodyText"/>
        <w:rPr>
          <w:rFonts w:cs="Times New Roman"/>
        </w:rPr>
      </w:pPr>
      <w:r w:rsidRPr="001A38C8">
        <w:rPr>
          <w:rFonts w:cs="Times New Roman"/>
        </w:rPr>
        <w:t xml:space="preserve">FSIM-S uses a deterministic structure coupling weather and spore-pressure dynamics, favouring stability, interpretability and transparent biological assumptions. Probabilistic </w:t>
      </w:r>
      <w:r w:rsidRPr="001A38C8">
        <w:rPr>
          <w:rFonts w:cs="Times New Roman"/>
        </w:rPr>
        <w:lastRenderedPageBreak/>
        <w:t>extensions could quantify uncertainty from rainfall variability, spore sampling error and fine-scale atmospheric heterogeneity. The regional analysis also represents scenarios rather than vineyard-specific operational risk, using simplified vineyard, canopy and cultivar assumptions. Vineyard land-use layers, cultivar distribution, remote-sensing information and canopy microclimate observations would support more spatially resolved deployment.</w:t>
      </w:r>
    </w:p>
    <w:p w14:paraId="04D3B2F4" w14:textId="77777777" w:rsidR="00B350F7" w:rsidRPr="001A38C8" w:rsidRDefault="00000000">
      <w:pPr>
        <w:pStyle w:val="Heading1"/>
        <w:rPr>
          <w:rFonts w:ascii="Times New Roman" w:hAnsi="Times New Roman" w:cs="Times New Roman"/>
        </w:rPr>
      </w:pPr>
      <w:bookmarkStart w:id="46" w:name="conclusion"/>
      <w:bookmarkEnd w:id="41"/>
      <w:bookmarkEnd w:id="45"/>
      <w:r w:rsidRPr="001A38C8">
        <w:rPr>
          <w:rFonts w:ascii="Times New Roman" w:hAnsi="Times New Roman" w:cs="Times New Roman"/>
        </w:rPr>
        <w:t>5 CONCLUSION</w:t>
      </w:r>
    </w:p>
    <w:p w14:paraId="4884DCBC" w14:textId="77777777" w:rsidR="00B350F7" w:rsidRPr="001A38C8" w:rsidRDefault="00000000">
      <w:pPr>
        <w:pStyle w:val="FirstParagraph"/>
        <w:rPr>
          <w:rFonts w:cs="Times New Roman"/>
        </w:rPr>
      </w:pPr>
      <w:r w:rsidRPr="001A38C8">
        <w:rPr>
          <w:rFonts w:cs="Times New Roman"/>
        </w:rPr>
        <w:t>FSIM provides a process-based framework for predicting first-season grapevine downy mildew symptom onset under subtropical double cropping, linking airborne sporangial inoculum, weather and host development. Across six site–years in Guangxi, its validation mean absolute error was 5.67 days. Incorporating observed spore pressure in FSIM-S reduced this error to 3.83 days, a 32.4% improvement, demonstrating the additional predictive value of spore monitoring within the mechanistic framework.</w:t>
      </w:r>
    </w:p>
    <w:p w14:paraId="2C14E493" w14:textId="77777777" w:rsidR="00B350F7" w:rsidRPr="001A38C8" w:rsidRDefault="00000000">
      <w:pPr>
        <w:pStyle w:val="BodyText"/>
        <w:rPr>
          <w:rFonts w:cs="Times New Roman"/>
        </w:rPr>
      </w:pPr>
      <w:r w:rsidRPr="001A38C8">
        <w:rPr>
          <w:rFonts w:cs="Times New Roman"/>
        </w:rPr>
        <w:t>Regional FSIM simulations for 2000–2024 showed earlier mean symptom onset in eastern and southeastern Guangxi and later onset in western and northwestern areas. Mean onset was 5.9 days later in the wine-grape scenario than in the table-grape scenario. Relative to the reference spray programme, estimated potential savings averaged 3.5 early applications per season for table grapes and 4.0 for wine grapes. These spatial and phenological differences support adapting early-season protection to local disease risk and crop development. Prospective field trials are needed to establish whether the estimated savings can be achieved while maintaining disease control. Together, these findings provide a basis for risk-based preventive programmes that use weather and phenology, supplemented by spore monitoring where available, to reduce unnecessary fungicide use in subtropical double-cropping vineyards.</w:t>
      </w:r>
    </w:p>
    <w:p w14:paraId="3891B1CC" w14:textId="77777777" w:rsidR="00B350F7" w:rsidRPr="001A38C8" w:rsidRDefault="00000000">
      <w:pPr>
        <w:pStyle w:val="Heading1"/>
        <w:rPr>
          <w:rFonts w:ascii="Times New Roman" w:hAnsi="Times New Roman" w:cs="Times New Roman"/>
        </w:rPr>
      </w:pPr>
      <w:bookmarkStart w:id="47" w:name="acknowledgements"/>
      <w:bookmarkEnd w:id="46"/>
      <w:r w:rsidRPr="001A38C8">
        <w:rPr>
          <w:rFonts w:ascii="Times New Roman" w:hAnsi="Times New Roman" w:cs="Times New Roman"/>
        </w:rPr>
        <w:lastRenderedPageBreak/>
        <w:t>Acknowledgements</w:t>
      </w:r>
    </w:p>
    <w:p w14:paraId="485EA325" w14:textId="77777777" w:rsidR="00B350F7" w:rsidRPr="001A38C8" w:rsidRDefault="00000000">
      <w:pPr>
        <w:pStyle w:val="FirstParagraph"/>
        <w:rPr>
          <w:rFonts w:cs="Times New Roman"/>
        </w:rPr>
      </w:pPr>
      <w:r w:rsidRPr="001A38C8">
        <w:rPr>
          <w:rFonts w:cs="Times New Roman"/>
        </w:rPr>
        <w:t>This work was funded by Guangxi Key R&amp;D Program Project (Grant No. Gui Ke AB24010121, AB21076001) and the Key Research and Development Program of Shaanxi (Grant No. 2023-ZDLNY-64). We gratefully acknowledge Mr. Yunlong Chen and Mr. Yaokang Liang, local growers in Guilin and Hechi, for their valuable assistance in fieldwork.</w:t>
      </w:r>
    </w:p>
    <w:p w14:paraId="71A59995" w14:textId="77777777" w:rsidR="00B350F7" w:rsidRPr="001A38C8" w:rsidRDefault="00000000">
      <w:pPr>
        <w:pStyle w:val="Heading1"/>
        <w:rPr>
          <w:rFonts w:ascii="Times New Roman" w:hAnsi="Times New Roman" w:cs="Times New Roman"/>
        </w:rPr>
      </w:pPr>
      <w:bookmarkStart w:id="48" w:name="declaration-of-competing-interest"/>
      <w:bookmarkEnd w:id="47"/>
      <w:r w:rsidRPr="001A38C8">
        <w:rPr>
          <w:rFonts w:ascii="Times New Roman" w:hAnsi="Times New Roman" w:cs="Times New Roman"/>
        </w:rPr>
        <w:t>Conflict of Interest</w:t>
      </w:r>
    </w:p>
    <w:p w14:paraId="7901CC7B" w14:textId="77777777" w:rsidR="00B350F7" w:rsidRPr="001A38C8" w:rsidRDefault="00000000">
      <w:pPr>
        <w:pStyle w:val="FirstParagraph"/>
        <w:rPr>
          <w:rFonts w:cs="Times New Roman"/>
        </w:rPr>
      </w:pPr>
      <w:r w:rsidRPr="001A38C8">
        <w:rPr>
          <w:rFonts w:cs="Times New Roman"/>
        </w:rPr>
        <w:t>The authors declare that they have no known competing financial interests or personal relationships that could have appeared to influence the work reported in this paper.</w:t>
      </w:r>
    </w:p>
    <w:p w14:paraId="550E8557" w14:textId="77777777" w:rsidR="00B350F7" w:rsidRPr="001A38C8" w:rsidRDefault="00000000">
      <w:pPr>
        <w:pStyle w:val="Heading1"/>
        <w:rPr>
          <w:rFonts w:ascii="Times New Roman" w:hAnsi="Times New Roman" w:cs="Times New Roman"/>
        </w:rPr>
      </w:pPr>
      <w:bookmarkStart w:id="49" w:name="credit-authorship-contribution-statement"/>
      <w:bookmarkEnd w:id="48"/>
      <w:r w:rsidRPr="001A38C8">
        <w:rPr>
          <w:rFonts w:ascii="Times New Roman" w:hAnsi="Times New Roman" w:cs="Times New Roman"/>
        </w:rPr>
        <w:t>CRediT authorship contribution statement</w:t>
      </w:r>
    </w:p>
    <w:p w14:paraId="291E41C9" w14:textId="77777777" w:rsidR="00B350F7" w:rsidRPr="001A38C8" w:rsidRDefault="00000000">
      <w:pPr>
        <w:pStyle w:val="FirstParagraph"/>
        <w:rPr>
          <w:rFonts w:cs="Times New Roman"/>
        </w:rPr>
      </w:pPr>
      <w:r w:rsidRPr="001A38C8">
        <w:rPr>
          <w:rFonts w:cs="Times New Roman"/>
        </w:rPr>
        <w:t>Linjia Yao: Investigation, Writing – original draft, Visualization, Software, Methodology, Formal analysis, Conceptualization. Bin Chen: Investigation, Writing – original draft, Formal analysis, Writing – review &amp; editing. Vittorio Rossi: Formal analysis, Writing – review &amp; editing. Ling Yin: Funding acquisition, Writing – review &amp; editing. Shumei Wei: Investigation. Qi Tian: Investigation. Changqing Yan: Writing – review &amp; editing. Hui Wang: Writing – review &amp; editing. Antonio Fernandes Nogueira Júnior: Writing – review &amp; editing. Yu Huang: Investigation. Qiang Yu: Conceptualization, Supervision. Junjie Qu: Funding acquisition. Gang Zhao: Software, Methodology, Conceptualization, Supervision.</w:t>
      </w:r>
    </w:p>
    <w:p w14:paraId="08CE7412" w14:textId="77777777" w:rsidR="00B350F7" w:rsidRPr="001A38C8" w:rsidRDefault="00000000">
      <w:pPr>
        <w:pStyle w:val="Heading1"/>
        <w:rPr>
          <w:rFonts w:ascii="Times New Roman" w:hAnsi="Times New Roman" w:cs="Times New Roman"/>
        </w:rPr>
      </w:pPr>
      <w:bookmarkStart w:id="50" w:name="data-availability"/>
      <w:bookmarkEnd w:id="49"/>
      <w:r w:rsidRPr="001A38C8">
        <w:rPr>
          <w:rFonts w:ascii="Times New Roman" w:hAnsi="Times New Roman" w:cs="Times New Roman"/>
        </w:rPr>
        <w:t>Data Availability</w:t>
      </w:r>
    </w:p>
    <w:p w14:paraId="734784EB" w14:textId="77777777" w:rsidR="00B350F7" w:rsidRPr="001A38C8" w:rsidRDefault="00000000">
      <w:pPr>
        <w:pStyle w:val="FirstParagraph"/>
        <w:rPr>
          <w:rFonts w:cs="Times New Roman"/>
        </w:rPr>
      </w:pPr>
      <w:r w:rsidRPr="001A38C8">
        <w:rPr>
          <w:rFonts w:cs="Times New Roman"/>
        </w:rPr>
        <w:t>The model structure, code, and data supporting the findings of this study are available from the corresponding author upon reasonable request (</w:t>
      </w:r>
      <w:r w:rsidRPr="001A38C8">
        <w:rPr>
          <w:rFonts w:cs="Times New Roman"/>
          <w:u w:val="single"/>
        </w:rPr>
        <w:t>gang.zhao@nwafu.edu.cn (Gang Zhao)</w:t>
      </w:r>
      <w:r w:rsidRPr="001A38C8">
        <w:rPr>
          <w:rFonts w:cs="Times New Roman"/>
        </w:rPr>
        <w:t>).</w:t>
      </w:r>
    </w:p>
    <w:p w14:paraId="19C315EC" w14:textId="77777777" w:rsidR="00B350F7" w:rsidRPr="001A38C8" w:rsidRDefault="00000000">
      <w:pPr>
        <w:pStyle w:val="Heading1"/>
        <w:rPr>
          <w:rFonts w:ascii="Times New Roman" w:hAnsi="Times New Roman" w:cs="Times New Roman"/>
        </w:rPr>
      </w:pPr>
      <w:bookmarkStart w:id="51" w:name="supporting-information"/>
      <w:bookmarkEnd w:id="50"/>
      <w:r w:rsidRPr="001A38C8">
        <w:rPr>
          <w:rFonts w:ascii="Times New Roman" w:hAnsi="Times New Roman" w:cs="Times New Roman"/>
        </w:rPr>
        <w:t>Supporting information</w:t>
      </w:r>
    </w:p>
    <w:p w14:paraId="6C2CBD72" w14:textId="77777777" w:rsidR="00B350F7" w:rsidRPr="001A38C8" w:rsidRDefault="00000000">
      <w:pPr>
        <w:pStyle w:val="FirstParagraph"/>
        <w:rPr>
          <w:rFonts w:cs="Times New Roman"/>
        </w:rPr>
      </w:pPr>
      <w:r w:rsidRPr="001A38C8">
        <w:rPr>
          <w:rFonts w:cs="Times New Roman"/>
        </w:rPr>
        <w:t>Supporting information may be found in the online version of this article.</w:t>
      </w:r>
    </w:p>
    <w:p w14:paraId="0B6CBFE5" w14:textId="77777777" w:rsidR="00B350F7" w:rsidRPr="001A38C8" w:rsidRDefault="00000000">
      <w:pPr>
        <w:pStyle w:val="Heading1"/>
        <w:rPr>
          <w:rFonts w:ascii="Times New Roman" w:hAnsi="Times New Roman" w:cs="Times New Roman"/>
        </w:rPr>
      </w:pPr>
      <w:bookmarkStart w:id="52" w:name="references"/>
      <w:bookmarkEnd w:id="51"/>
      <w:r w:rsidRPr="001A38C8">
        <w:rPr>
          <w:rFonts w:ascii="Times New Roman" w:hAnsi="Times New Roman" w:cs="Times New Roman"/>
        </w:rPr>
        <w:lastRenderedPageBreak/>
        <w:t>References</w:t>
      </w:r>
    </w:p>
    <w:p w14:paraId="660A62DF" w14:textId="77777777" w:rsidR="00B350F7" w:rsidRPr="001A38C8" w:rsidRDefault="00000000">
      <w:pPr>
        <w:pStyle w:val="FirstParagraph"/>
        <w:ind w:left="360" w:hanging="360"/>
        <w:rPr>
          <w:rFonts w:cs="Times New Roman"/>
        </w:rPr>
      </w:pPr>
      <w:bookmarkStart w:id="53" w:name="Reference_01"/>
      <w:r w:rsidRPr="001A38C8">
        <w:rPr>
          <w:rFonts w:cs="Times New Roman"/>
        </w:rPr>
        <w:t xml:space="preserve">1 Koledenkova K, Esmaeel Q, Jacquard C, Nowak J, Clément C and Ait Barka E, </w:t>
      </w:r>
      <w:r w:rsidRPr="001A38C8">
        <w:rPr>
          <w:rFonts w:cs="Times New Roman"/>
          <w:i/>
          <w:iCs/>
        </w:rPr>
        <w:t>Plasmopara viticola</w:t>
      </w:r>
      <w:r w:rsidRPr="001A38C8">
        <w:rPr>
          <w:rFonts w:cs="Times New Roman"/>
        </w:rPr>
        <w:t xml:space="preserve">, the causal agent of downy mildew of grapevine: From its taxonomy to disease management. </w:t>
      </w:r>
      <w:r w:rsidRPr="001A38C8">
        <w:rPr>
          <w:rFonts w:cs="Times New Roman"/>
          <w:i/>
          <w:iCs/>
        </w:rPr>
        <w:t>Front Microbiol</w:t>
      </w:r>
      <w:r w:rsidRPr="001A38C8">
        <w:rPr>
          <w:rFonts w:cs="Times New Roman"/>
        </w:rPr>
        <w:t xml:space="preserve"> </w:t>
      </w:r>
      <w:r w:rsidRPr="001A38C8">
        <w:rPr>
          <w:rFonts w:cs="Times New Roman"/>
          <w:b/>
          <w:bCs/>
        </w:rPr>
        <w:t>13</w:t>
      </w:r>
      <w:r w:rsidRPr="001A38C8">
        <w:rPr>
          <w:rFonts w:cs="Times New Roman"/>
        </w:rPr>
        <w:t xml:space="preserve">:889472. </w:t>
      </w:r>
      <w:hyperlink r:id="rId24">
        <w:r w:rsidR="00B350F7" w:rsidRPr="001A38C8">
          <w:rPr>
            <w:rStyle w:val="Hyperlink"/>
            <w:rFonts w:cs="Times New Roman"/>
          </w:rPr>
          <w:t>https://doi.org/10.3389/fmicb.2022.889472</w:t>
        </w:r>
      </w:hyperlink>
      <w:r w:rsidRPr="001A38C8">
        <w:rPr>
          <w:rFonts w:cs="Times New Roman"/>
        </w:rPr>
        <w:t xml:space="preserve"> (2022).</w:t>
      </w:r>
      <w:bookmarkEnd w:id="53"/>
    </w:p>
    <w:p w14:paraId="377FE512" w14:textId="77777777" w:rsidR="00B350F7" w:rsidRPr="001A38C8" w:rsidRDefault="00000000">
      <w:pPr>
        <w:pStyle w:val="BodyText"/>
        <w:ind w:left="360" w:hanging="360"/>
        <w:rPr>
          <w:rFonts w:cs="Times New Roman"/>
        </w:rPr>
      </w:pPr>
      <w:bookmarkStart w:id="54" w:name="Reference_02"/>
      <w:r w:rsidRPr="001A38C8">
        <w:rPr>
          <w:rFonts w:cs="Times New Roman"/>
        </w:rPr>
        <w:t xml:space="preserve">2 Peng J, Wang X, Wang H, Li X, Zhang Q, Wang M et al., Advances in understanding grapevine downy mildew: From pathogen infection to disease management. </w:t>
      </w:r>
      <w:r w:rsidRPr="001A38C8">
        <w:rPr>
          <w:rFonts w:cs="Times New Roman"/>
          <w:i/>
          <w:iCs/>
        </w:rPr>
        <w:t>Mol Plant Pathol</w:t>
      </w:r>
      <w:r w:rsidRPr="001A38C8">
        <w:rPr>
          <w:rFonts w:cs="Times New Roman"/>
        </w:rPr>
        <w:t xml:space="preserve"> </w:t>
      </w:r>
      <w:r w:rsidRPr="001A38C8">
        <w:rPr>
          <w:rFonts w:cs="Times New Roman"/>
          <w:b/>
          <w:bCs/>
        </w:rPr>
        <w:t>25</w:t>
      </w:r>
      <w:r w:rsidRPr="001A38C8">
        <w:rPr>
          <w:rFonts w:cs="Times New Roman"/>
        </w:rPr>
        <w:t xml:space="preserve">:e13401. </w:t>
      </w:r>
      <w:hyperlink r:id="rId25">
        <w:r w:rsidR="00B350F7" w:rsidRPr="001A38C8">
          <w:rPr>
            <w:rStyle w:val="Hyperlink"/>
            <w:rFonts w:cs="Times New Roman"/>
          </w:rPr>
          <w:t>https://doi.org/10.1111/mpp.13401</w:t>
        </w:r>
      </w:hyperlink>
      <w:r w:rsidRPr="001A38C8">
        <w:rPr>
          <w:rFonts w:cs="Times New Roman"/>
        </w:rPr>
        <w:t xml:space="preserve"> (2024).</w:t>
      </w:r>
      <w:bookmarkEnd w:id="54"/>
    </w:p>
    <w:p w14:paraId="4083B822" w14:textId="77777777" w:rsidR="00B350F7" w:rsidRPr="001A38C8" w:rsidRDefault="00000000">
      <w:pPr>
        <w:pStyle w:val="BodyText"/>
        <w:ind w:left="360" w:hanging="360"/>
        <w:rPr>
          <w:rFonts w:cs="Times New Roman"/>
        </w:rPr>
      </w:pPr>
      <w:bookmarkStart w:id="55" w:name="Reference_03"/>
      <w:r w:rsidRPr="001A38C8">
        <w:rPr>
          <w:rFonts w:cs="Times New Roman"/>
        </w:rPr>
        <w:t xml:space="preserve">3 Nogueira Júnior AF, Ribeiro RV, Marcos FCC and Amorim L, Virtual lesions and photosynthetic damage caused by </w:t>
      </w:r>
      <w:r w:rsidRPr="001A38C8">
        <w:rPr>
          <w:rFonts w:cs="Times New Roman"/>
          <w:i/>
          <w:iCs/>
        </w:rPr>
        <w:t>Plasmopara viticola</w:t>
      </w:r>
      <w:r w:rsidRPr="001A38C8">
        <w:rPr>
          <w:rFonts w:cs="Times New Roman"/>
        </w:rPr>
        <w:t xml:space="preserve"> in </w:t>
      </w:r>
      <w:r w:rsidRPr="001A38C8">
        <w:rPr>
          <w:rFonts w:cs="Times New Roman"/>
          <w:i/>
          <w:iCs/>
        </w:rPr>
        <w:t>Vitis labrusca</w:t>
      </w:r>
      <w:r w:rsidRPr="001A38C8">
        <w:rPr>
          <w:rFonts w:cs="Times New Roman"/>
        </w:rPr>
        <w:t xml:space="preserve">. </w:t>
      </w:r>
      <w:r w:rsidRPr="001A38C8">
        <w:rPr>
          <w:rFonts w:cs="Times New Roman"/>
          <w:i/>
          <w:iCs/>
        </w:rPr>
        <w:t>Eur J Plant Pathol</w:t>
      </w:r>
      <w:r w:rsidRPr="001A38C8">
        <w:rPr>
          <w:rFonts w:cs="Times New Roman"/>
        </w:rPr>
        <w:t xml:space="preserve"> </w:t>
      </w:r>
      <w:r w:rsidRPr="001A38C8">
        <w:rPr>
          <w:rFonts w:cs="Times New Roman"/>
          <w:b/>
          <w:bCs/>
        </w:rPr>
        <w:t>155</w:t>
      </w:r>
      <w:r w:rsidRPr="001A38C8">
        <w:rPr>
          <w:rFonts w:cs="Times New Roman"/>
        </w:rPr>
        <w:t xml:space="preserve">:545–555. </w:t>
      </w:r>
      <w:hyperlink r:id="rId26">
        <w:r w:rsidR="00B350F7" w:rsidRPr="001A38C8">
          <w:rPr>
            <w:rStyle w:val="Hyperlink"/>
            <w:rFonts w:cs="Times New Roman"/>
          </w:rPr>
          <w:t>https://doi.org/10.1007/s10658-019-01791-2</w:t>
        </w:r>
      </w:hyperlink>
      <w:r w:rsidRPr="001A38C8">
        <w:rPr>
          <w:rFonts w:cs="Times New Roman"/>
        </w:rPr>
        <w:t xml:space="preserve"> (2019).</w:t>
      </w:r>
      <w:bookmarkEnd w:id="55"/>
    </w:p>
    <w:p w14:paraId="183BCCF7" w14:textId="77777777" w:rsidR="00B350F7" w:rsidRPr="001A38C8" w:rsidRDefault="00000000">
      <w:pPr>
        <w:pStyle w:val="BodyText"/>
        <w:ind w:left="360" w:hanging="360"/>
        <w:rPr>
          <w:rFonts w:cs="Times New Roman"/>
        </w:rPr>
      </w:pPr>
      <w:bookmarkStart w:id="56" w:name="Reference_04"/>
      <w:r w:rsidRPr="001A38C8">
        <w:rPr>
          <w:rFonts w:cs="Times New Roman"/>
        </w:rPr>
        <w:t xml:space="preserve">4 Gessler C, Pertot I and Perazzolli M, </w:t>
      </w:r>
      <w:r w:rsidRPr="001A38C8">
        <w:rPr>
          <w:rFonts w:cs="Times New Roman"/>
          <w:i/>
          <w:iCs/>
        </w:rPr>
        <w:t>Plasmopara viticola</w:t>
      </w:r>
      <w:r w:rsidRPr="001A38C8">
        <w:rPr>
          <w:rFonts w:cs="Times New Roman"/>
        </w:rPr>
        <w:t xml:space="preserve">: A review of knowledge on downy mildew of grapevine and effective disease management. </w:t>
      </w:r>
      <w:r w:rsidRPr="001A38C8">
        <w:rPr>
          <w:rFonts w:cs="Times New Roman"/>
          <w:i/>
          <w:iCs/>
        </w:rPr>
        <w:t>Phytopathol Mediterr</w:t>
      </w:r>
      <w:r w:rsidRPr="001A38C8">
        <w:rPr>
          <w:rFonts w:cs="Times New Roman"/>
        </w:rPr>
        <w:t xml:space="preserve"> </w:t>
      </w:r>
      <w:r w:rsidRPr="001A38C8">
        <w:rPr>
          <w:rFonts w:cs="Times New Roman"/>
          <w:b/>
          <w:bCs/>
        </w:rPr>
        <w:t>50</w:t>
      </w:r>
      <w:r w:rsidRPr="001A38C8">
        <w:rPr>
          <w:rFonts w:cs="Times New Roman"/>
        </w:rPr>
        <w:t xml:space="preserve">:3–44. </w:t>
      </w:r>
      <w:hyperlink r:id="rId27">
        <w:r w:rsidR="00B350F7" w:rsidRPr="001A38C8">
          <w:rPr>
            <w:rStyle w:val="Hyperlink"/>
            <w:rFonts w:cs="Times New Roman"/>
          </w:rPr>
          <w:t>https://www.jstor.org/stable/26458675</w:t>
        </w:r>
      </w:hyperlink>
      <w:r w:rsidRPr="001A38C8">
        <w:rPr>
          <w:rFonts w:cs="Times New Roman"/>
        </w:rPr>
        <w:t xml:space="preserve"> (2011).</w:t>
      </w:r>
      <w:bookmarkEnd w:id="56"/>
    </w:p>
    <w:p w14:paraId="4932E6B0" w14:textId="77777777" w:rsidR="00B350F7" w:rsidRPr="001A38C8" w:rsidRDefault="00000000">
      <w:pPr>
        <w:pStyle w:val="BodyText"/>
        <w:ind w:left="360" w:hanging="360"/>
        <w:rPr>
          <w:rFonts w:cs="Times New Roman"/>
        </w:rPr>
      </w:pPr>
      <w:bookmarkStart w:id="57" w:name="Reference_05"/>
      <w:r w:rsidRPr="001A38C8">
        <w:rPr>
          <w:rFonts w:cs="Times New Roman"/>
        </w:rPr>
        <w:t xml:space="preserve">5 Caffi T, Rossi V and Bugiani R, Evaluation of a warning system for controlling primary infections of grapevine downy mildew. </w:t>
      </w:r>
      <w:r w:rsidRPr="001A38C8">
        <w:rPr>
          <w:rFonts w:cs="Times New Roman"/>
          <w:i/>
          <w:iCs/>
        </w:rPr>
        <w:t>Plant Dis</w:t>
      </w:r>
      <w:r w:rsidRPr="001A38C8">
        <w:rPr>
          <w:rFonts w:cs="Times New Roman"/>
        </w:rPr>
        <w:t xml:space="preserve"> </w:t>
      </w:r>
      <w:r w:rsidRPr="001A38C8">
        <w:rPr>
          <w:rFonts w:cs="Times New Roman"/>
          <w:b/>
          <w:bCs/>
        </w:rPr>
        <w:t>94</w:t>
      </w:r>
      <w:r w:rsidRPr="001A38C8">
        <w:rPr>
          <w:rFonts w:cs="Times New Roman"/>
        </w:rPr>
        <w:t xml:space="preserve">:709–716. </w:t>
      </w:r>
      <w:hyperlink r:id="rId28">
        <w:r w:rsidR="00B350F7" w:rsidRPr="001A38C8">
          <w:rPr>
            <w:rStyle w:val="Hyperlink"/>
            <w:rFonts w:cs="Times New Roman"/>
          </w:rPr>
          <w:t>https://doi.org/10.1094/PDIS-94-6-0709</w:t>
        </w:r>
      </w:hyperlink>
      <w:r w:rsidRPr="001A38C8">
        <w:rPr>
          <w:rFonts w:cs="Times New Roman"/>
        </w:rPr>
        <w:t xml:space="preserve"> (2010).</w:t>
      </w:r>
      <w:bookmarkEnd w:id="57"/>
    </w:p>
    <w:p w14:paraId="40C8C84D" w14:textId="77777777" w:rsidR="00B350F7" w:rsidRPr="001A38C8" w:rsidRDefault="00000000">
      <w:pPr>
        <w:pStyle w:val="BodyText"/>
        <w:ind w:left="360" w:hanging="360"/>
        <w:rPr>
          <w:rFonts w:cs="Times New Roman"/>
        </w:rPr>
      </w:pPr>
      <w:bookmarkStart w:id="58" w:name="Reference_06"/>
      <w:r w:rsidRPr="001A38C8">
        <w:rPr>
          <w:rFonts w:cs="Times New Roman"/>
        </w:rPr>
        <w:t xml:space="preserve">6 Scholthof K-BG, The disease triangle: pathogens, the environment and society. </w:t>
      </w:r>
      <w:r w:rsidRPr="001A38C8">
        <w:rPr>
          <w:rFonts w:cs="Times New Roman"/>
          <w:i/>
          <w:iCs/>
        </w:rPr>
        <w:t>Nat Rev Microbiol</w:t>
      </w:r>
      <w:r w:rsidRPr="001A38C8">
        <w:rPr>
          <w:rFonts w:cs="Times New Roman"/>
        </w:rPr>
        <w:t xml:space="preserve"> </w:t>
      </w:r>
      <w:r w:rsidRPr="001A38C8">
        <w:rPr>
          <w:rFonts w:cs="Times New Roman"/>
          <w:b/>
          <w:bCs/>
        </w:rPr>
        <w:t>5</w:t>
      </w:r>
      <w:r w:rsidRPr="001A38C8">
        <w:rPr>
          <w:rFonts w:cs="Times New Roman"/>
        </w:rPr>
        <w:t xml:space="preserve">:152–156. </w:t>
      </w:r>
      <w:hyperlink r:id="rId29">
        <w:r w:rsidR="00B350F7" w:rsidRPr="001A38C8">
          <w:rPr>
            <w:rStyle w:val="Hyperlink"/>
            <w:rFonts w:cs="Times New Roman"/>
          </w:rPr>
          <w:t>https://doi.org/10.1038/nrmicro1596</w:t>
        </w:r>
      </w:hyperlink>
      <w:r w:rsidRPr="001A38C8">
        <w:rPr>
          <w:rFonts w:cs="Times New Roman"/>
        </w:rPr>
        <w:t xml:space="preserve"> (2007).</w:t>
      </w:r>
      <w:bookmarkEnd w:id="58"/>
    </w:p>
    <w:p w14:paraId="71B90E0F" w14:textId="77777777" w:rsidR="00B350F7" w:rsidRPr="001A38C8" w:rsidRDefault="00000000">
      <w:pPr>
        <w:pStyle w:val="BodyText"/>
        <w:ind w:left="360" w:hanging="360"/>
        <w:rPr>
          <w:rFonts w:cs="Times New Roman"/>
        </w:rPr>
      </w:pPr>
      <w:bookmarkStart w:id="59" w:name="Reference_07"/>
      <w:r w:rsidRPr="001A38C8">
        <w:rPr>
          <w:rFonts w:cs="Times New Roman"/>
        </w:rPr>
        <w:t xml:space="preserve">7 Caffi T, Rossi V, Cossu A and Fronteddu F, Empirical vs. mechanistic models for primary infections of </w:t>
      </w:r>
      <w:r w:rsidRPr="001A38C8">
        <w:rPr>
          <w:rFonts w:cs="Times New Roman"/>
          <w:i/>
          <w:iCs/>
        </w:rPr>
        <w:t>Plasmopara viticola</w:t>
      </w:r>
      <w:r w:rsidRPr="001A38C8">
        <w:rPr>
          <w:rFonts w:cs="Times New Roman"/>
        </w:rPr>
        <w:t xml:space="preserve">. </w:t>
      </w:r>
      <w:r w:rsidRPr="001A38C8">
        <w:rPr>
          <w:rFonts w:cs="Times New Roman"/>
          <w:i/>
          <w:iCs/>
        </w:rPr>
        <w:t>EPPO Bull</w:t>
      </w:r>
      <w:r w:rsidRPr="001A38C8">
        <w:rPr>
          <w:rFonts w:cs="Times New Roman"/>
        </w:rPr>
        <w:t xml:space="preserve"> </w:t>
      </w:r>
      <w:r w:rsidRPr="001A38C8">
        <w:rPr>
          <w:rFonts w:cs="Times New Roman"/>
          <w:b/>
          <w:bCs/>
        </w:rPr>
        <w:t>37</w:t>
      </w:r>
      <w:r w:rsidRPr="001A38C8">
        <w:rPr>
          <w:rFonts w:cs="Times New Roman"/>
        </w:rPr>
        <w:t xml:space="preserve">:261–271. </w:t>
      </w:r>
      <w:hyperlink r:id="rId30">
        <w:r w:rsidR="00B350F7" w:rsidRPr="001A38C8">
          <w:rPr>
            <w:rStyle w:val="Hyperlink"/>
            <w:rFonts w:cs="Times New Roman"/>
          </w:rPr>
          <w:t>https://doi.org/10.1111/j.1365-2338.2007.01120.x</w:t>
        </w:r>
      </w:hyperlink>
      <w:r w:rsidRPr="001A38C8">
        <w:rPr>
          <w:rFonts w:cs="Times New Roman"/>
        </w:rPr>
        <w:t xml:space="preserve"> (2007).</w:t>
      </w:r>
      <w:bookmarkEnd w:id="59"/>
    </w:p>
    <w:p w14:paraId="635D385A" w14:textId="77777777" w:rsidR="00B350F7" w:rsidRPr="001A38C8" w:rsidRDefault="00000000">
      <w:pPr>
        <w:pStyle w:val="BodyText"/>
        <w:ind w:left="360" w:hanging="360"/>
        <w:rPr>
          <w:rFonts w:cs="Times New Roman"/>
        </w:rPr>
      </w:pPr>
      <w:bookmarkStart w:id="60" w:name="Reference_08"/>
      <w:r w:rsidRPr="001A38C8">
        <w:rPr>
          <w:rFonts w:cs="Times New Roman"/>
        </w:rPr>
        <w:lastRenderedPageBreak/>
        <w:t xml:space="preserve">8 Rossi V, Caffi T, Giosuè S and Bugiani R, A mechanistic model simulating primary infections of downy mildew in grapevine. </w:t>
      </w:r>
      <w:r w:rsidRPr="001A38C8">
        <w:rPr>
          <w:rFonts w:cs="Times New Roman"/>
          <w:i/>
          <w:iCs/>
        </w:rPr>
        <w:t>Ecol Model</w:t>
      </w:r>
      <w:r w:rsidRPr="001A38C8">
        <w:rPr>
          <w:rFonts w:cs="Times New Roman"/>
        </w:rPr>
        <w:t xml:space="preserve"> </w:t>
      </w:r>
      <w:r w:rsidRPr="001A38C8">
        <w:rPr>
          <w:rFonts w:cs="Times New Roman"/>
          <w:b/>
          <w:bCs/>
        </w:rPr>
        <w:t>212</w:t>
      </w:r>
      <w:r w:rsidRPr="001A38C8">
        <w:rPr>
          <w:rFonts w:cs="Times New Roman"/>
        </w:rPr>
        <w:t xml:space="preserve">:480–491. </w:t>
      </w:r>
      <w:hyperlink r:id="rId31">
        <w:r w:rsidR="00B350F7" w:rsidRPr="001A38C8">
          <w:rPr>
            <w:rStyle w:val="Hyperlink"/>
            <w:rFonts w:cs="Times New Roman"/>
          </w:rPr>
          <w:t>https://doi.org/10.1016/j.ecolmodel.2007.10.046</w:t>
        </w:r>
      </w:hyperlink>
      <w:r w:rsidRPr="001A38C8">
        <w:rPr>
          <w:rFonts w:cs="Times New Roman"/>
        </w:rPr>
        <w:t xml:space="preserve"> (2008).</w:t>
      </w:r>
      <w:bookmarkEnd w:id="60"/>
    </w:p>
    <w:p w14:paraId="0A47CBE9" w14:textId="77777777" w:rsidR="00B350F7" w:rsidRPr="001A38C8" w:rsidRDefault="00000000">
      <w:pPr>
        <w:pStyle w:val="BodyText"/>
        <w:ind w:left="360" w:hanging="360"/>
        <w:rPr>
          <w:rFonts w:cs="Times New Roman"/>
        </w:rPr>
      </w:pPr>
      <w:bookmarkStart w:id="61" w:name="Reference_09"/>
      <w:r w:rsidRPr="001A38C8">
        <w:rPr>
          <w:rFonts w:cs="Times New Roman"/>
        </w:rPr>
        <w:t xml:space="preserve">9 Brischetto C, Bove F, Languasco L and Rossi V, Can spore sampler data be used to predict </w:t>
      </w:r>
      <w:r w:rsidRPr="001A38C8">
        <w:rPr>
          <w:rFonts w:cs="Times New Roman"/>
          <w:i/>
          <w:iCs/>
        </w:rPr>
        <w:t>Plasmopara viticola</w:t>
      </w:r>
      <w:r w:rsidRPr="001A38C8">
        <w:rPr>
          <w:rFonts w:cs="Times New Roman"/>
        </w:rPr>
        <w:t xml:space="preserve"> infection in vineyards? </w:t>
      </w:r>
      <w:r w:rsidRPr="001A38C8">
        <w:rPr>
          <w:rFonts w:cs="Times New Roman"/>
          <w:i/>
          <w:iCs/>
        </w:rPr>
        <w:t>Front Plant Sci</w:t>
      </w:r>
      <w:r w:rsidRPr="001A38C8">
        <w:rPr>
          <w:rFonts w:cs="Times New Roman"/>
        </w:rPr>
        <w:t xml:space="preserve"> </w:t>
      </w:r>
      <w:r w:rsidRPr="001A38C8">
        <w:rPr>
          <w:rFonts w:cs="Times New Roman"/>
          <w:b/>
          <w:bCs/>
        </w:rPr>
        <w:t>11</w:t>
      </w:r>
      <w:r w:rsidRPr="001A38C8">
        <w:rPr>
          <w:rFonts w:cs="Times New Roman"/>
        </w:rPr>
        <w:t xml:space="preserve">:1187. </w:t>
      </w:r>
      <w:hyperlink r:id="rId32">
        <w:r w:rsidR="00B350F7" w:rsidRPr="001A38C8">
          <w:rPr>
            <w:rStyle w:val="Hyperlink"/>
            <w:rFonts w:cs="Times New Roman"/>
          </w:rPr>
          <w:t>https://doi.org/10.3389/fpls.2020.01187</w:t>
        </w:r>
      </w:hyperlink>
      <w:r w:rsidRPr="001A38C8">
        <w:rPr>
          <w:rFonts w:cs="Times New Roman"/>
        </w:rPr>
        <w:t xml:space="preserve"> (2020).</w:t>
      </w:r>
      <w:bookmarkEnd w:id="61"/>
    </w:p>
    <w:p w14:paraId="7F665CBE" w14:textId="77777777" w:rsidR="00B350F7" w:rsidRPr="001A38C8" w:rsidRDefault="00000000">
      <w:pPr>
        <w:pStyle w:val="BodyText"/>
        <w:ind w:left="360" w:hanging="360"/>
        <w:rPr>
          <w:rFonts w:cs="Times New Roman"/>
        </w:rPr>
      </w:pPr>
      <w:bookmarkStart w:id="62" w:name="Reference_10"/>
      <w:r w:rsidRPr="001A38C8">
        <w:rPr>
          <w:rFonts w:cs="Times New Roman"/>
        </w:rPr>
        <w:t xml:space="preserve">10 Brischetto C, Bove F, Fedele G and Rossi V, A weather-driven model for predicting infections of grapevines by sporangia of </w:t>
      </w:r>
      <w:r w:rsidRPr="001A38C8">
        <w:rPr>
          <w:rFonts w:cs="Times New Roman"/>
          <w:i/>
          <w:iCs/>
        </w:rPr>
        <w:t>Plasmopara viticola</w:t>
      </w:r>
      <w:r w:rsidRPr="001A38C8">
        <w:rPr>
          <w:rFonts w:cs="Times New Roman"/>
        </w:rPr>
        <w:t xml:space="preserve">. </w:t>
      </w:r>
      <w:r w:rsidRPr="001A38C8">
        <w:rPr>
          <w:rFonts w:cs="Times New Roman"/>
          <w:i/>
          <w:iCs/>
        </w:rPr>
        <w:t>Front Plant Sci</w:t>
      </w:r>
      <w:r w:rsidRPr="001A38C8">
        <w:rPr>
          <w:rFonts w:cs="Times New Roman"/>
        </w:rPr>
        <w:t xml:space="preserve"> </w:t>
      </w:r>
      <w:r w:rsidRPr="001A38C8">
        <w:rPr>
          <w:rFonts w:cs="Times New Roman"/>
          <w:b/>
          <w:bCs/>
        </w:rPr>
        <w:t>12</w:t>
      </w:r>
      <w:r w:rsidRPr="001A38C8">
        <w:rPr>
          <w:rFonts w:cs="Times New Roman"/>
        </w:rPr>
        <w:t xml:space="preserve">:636607. </w:t>
      </w:r>
      <w:hyperlink r:id="rId33">
        <w:r w:rsidR="00B350F7" w:rsidRPr="001A38C8">
          <w:rPr>
            <w:rStyle w:val="Hyperlink"/>
            <w:rFonts w:cs="Times New Roman"/>
          </w:rPr>
          <w:t>https://doi.org/10.3389/fpls.2021.636607</w:t>
        </w:r>
      </w:hyperlink>
      <w:r w:rsidRPr="001A38C8">
        <w:rPr>
          <w:rFonts w:cs="Times New Roman"/>
        </w:rPr>
        <w:t xml:space="preserve"> (2021).</w:t>
      </w:r>
      <w:bookmarkEnd w:id="62"/>
    </w:p>
    <w:p w14:paraId="1500E095" w14:textId="77777777" w:rsidR="00B350F7" w:rsidRPr="001A38C8" w:rsidRDefault="00000000">
      <w:pPr>
        <w:pStyle w:val="BodyText"/>
        <w:ind w:left="360" w:hanging="360"/>
        <w:rPr>
          <w:rFonts w:cs="Times New Roman"/>
        </w:rPr>
      </w:pPr>
      <w:bookmarkStart w:id="63" w:name="Reference_11"/>
      <w:r w:rsidRPr="001A38C8">
        <w:rPr>
          <w:rFonts w:cs="Times New Roman"/>
        </w:rPr>
        <w:t xml:space="preserve">11 Chen W-K, Bai X-J, Cao M-M, Cheng G, Cao X-J, Guo R-R et al., Dissecting the variations of ripening progression and flavonoid metabolism in grape berries grown under double cropping system. </w:t>
      </w:r>
      <w:r w:rsidRPr="001A38C8">
        <w:rPr>
          <w:rFonts w:cs="Times New Roman"/>
          <w:i/>
          <w:iCs/>
        </w:rPr>
        <w:t>Front Plant Sci</w:t>
      </w:r>
      <w:r w:rsidRPr="001A38C8">
        <w:rPr>
          <w:rFonts w:cs="Times New Roman"/>
        </w:rPr>
        <w:t xml:space="preserve"> </w:t>
      </w:r>
      <w:r w:rsidRPr="001A38C8">
        <w:rPr>
          <w:rFonts w:cs="Times New Roman"/>
          <w:b/>
          <w:bCs/>
        </w:rPr>
        <w:t>8</w:t>
      </w:r>
      <w:r w:rsidRPr="001A38C8">
        <w:rPr>
          <w:rFonts w:cs="Times New Roman"/>
        </w:rPr>
        <w:t xml:space="preserve">:1912. </w:t>
      </w:r>
      <w:hyperlink r:id="rId34">
        <w:r w:rsidR="00B350F7" w:rsidRPr="001A38C8">
          <w:rPr>
            <w:rStyle w:val="Hyperlink"/>
            <w:rFonts w:cs="Times New Roman"/>
          </w:rPr>
          <w:t>https://doi.org/10.3389/fpls.2017.01912</w:t>
        </w:r>
      </w:hyperlink>
      <w:r w:rsidRPr="001A38C8">
        <w:rPr>
          <w:rFonts w:cs="Times New Roman"/>
        </w:rPr>
        <w:t xml:space="preserve"> (2017).</w:t>
      </w:r>
      <w:bookmarkEnd w:id="63"/>
    </w:p>
    <w:p w14:paraId="5DB47BD5" w14:textId="77777777" w:rsidR="00B350F7" w:rsidRPr="001A38C8" w:rsidRDefault="00000000">
      <w:pPr>
        <w:pStyle w:val="BodyText"/>
        <w:ind w:left="360" w:hanging="360"/>
        <w:rPr>
          <w:rFonts w:cs="Times New Roman"/>
        </w:rPr>
      </w:pPr>
      <w:bookmarkStart w:id="64" w:name="Reference_12"/>
      <w:r w:rsidRPr="001A38C8">
        <w:rPr>
          <w:rFonts w:cs="Times New Roman"/>
        </w:rPr>
        <w:t xml:space="preserve">12 Lu H-C, Chen W-K, Wang Y, Bai X-J, Cheng G, Duan C-Q et al., Effect of the seasonal climatic variations on the accumulation of fruit volatiles in four grape varieties under the double cropping system. </w:t>
      </w:r>
      <w:r w:rsidRPr="001A38C8">
        <w:rPr>
          <w:rFonts w:cs="Times New Roman"/>
          <w:i/>
          <w:iCs/>
        </w:rPr>
        <w:t>Front Plant Sci</w:t>
      </w:r>
      <w:r w:rsidRPr="001A38C8">
        <w:rPr>
          <w:rFonts w:cs="Times New Roman"/>
        </w:rPr>
        <w:t xml:space="preserve"> </w:t>
      </w:r>
      <w:r w:rsidRPr="001A38C8">
        <w:rPr>
          <w:rFonts w:cs="Times New Roman"/>
          <w:b/>
          <w:bCs/>
        </w:rPr>
        <w:t>12</w:t>
      </w:r>
      <w:r w:rsidRPr="001A38C8">
        <w:rPr>
          <w:rFonts w:cs="Times New Roman"/>
        </w:rPr>
        <w:t xml:space="preserve">:809558. </w:t>
      </w:r>
      <w:hyperlink r:id="rId35">
        <w:r w:rsidR="00B350F7" w:rsidRPr="001A38C8">
          <w:rPr>
            <w:rStyle w:val="Hyperlink"/>
            <w:rFonts w:cs="Times New Roman"/>
          </w:rPr>
          <w:t>https://doi.org/10.3389/fpls.2021.809558</w:t>
        </w:r>
      </w:hyperlink>
      <w:r w:rsidRPr="001A38C8">
        <w:rPr>
          <w:rFonts w:cs="Times New Roman"/>
        </w:rPr>
        <w:t xml:space="preserve"> (2022).</w:t>
      </w:r>
      <w:bookmarkEnd w:id="64"/>
    </w:p>
    <w:p w14:paraId="6FFF940F" w14:textId="77777777" w:rsidR="00B350F7" w:rsidRPr="001A38C8" w:rsidRDefault="00000000">
      <w:pPr>
        <w:pStyle w:val="BodyText"/>
        <w:ind w:left="360" w:hanging="360"/>
        <w:rPr>
          <w:rFonts w:cs="Times New Roman"/>
        </w:rPr>
      </w:pPr>
      <w:bookmarkStart w:id="65" w:name="Reference_13"/>
      <w:r w:rsidRPr="001A38C8">
        <w:rPr>
          <w:rFonts w:cs="Times New Roman"/>
        </w:rPr>
        <w:t xml:space="preserve">13 Camargo MP, Hong CF, Amorim L and Scherm H, Cryptic species and population genetic structure of </w:t>
      </w:r>
      <w:r w:rsidRPr="001A38C8">
        <w:rPr>
          <w:rFonts w:cs="Times New Roman"/>
          <w:i/>
          <w:iCs/>
        </w:rPr>
        <w:t>Plasmopara viticola</w:t>
      </w:r>
      <w:r w:rsidRPr="001A38C8">
        <w:rPr>
          <w:rFonts w:cs="Times New Roman"/>
        </w:rPr>
        <w:t xml:space="preserve"> in São Paulo State, Brazil. </w:t>
      </w:r>
      <w:r w:rsidRPr="001A38C8">
        <w:rPr>
          <w:rFonts w:cs="Times New Roman"/>
          <w:i/>
          <w:iCs/>
        </w:rPr>
        <w:t>Plant Pathol</w:t>
      </w:r>
      <w:r w:rsidRPr="001A38C8">
        <w:rPr>
          <w:rFonts w:cs="Times New Roman"/>
        </w:rPr>
        <w:t xml:space="preserve"> </w:t>
      </w:r>
      <w:r w:rsidRPr="001A38C8">
        <w:rPr>
          <w:rFonts w:cs="Times New Roman"/>
          <w:b/>
          <w:bCs/>
        </w:rPr>
        <w:t>68</w:t>
      </w:r>
      <w:r w:rsidRPr="001A38C8">
        <w:rPr>
          <w:rFonts w:cs="Times New Roman"/>
        </w:rPr>
        <w:t xml:space="preserve">:719–726. </w:t>
      </w:r>
      <w:hyperlink r:id="rId36">
        <w:r w:rsidR="00B350F7" w:rsidRPr="001A38C8">
          <w:rPr>
            <w:rStyle w:val="Hyperlink"/>
            <w:rFonts w:cs="Times New Roman"/>
          </w:rPr>
          <w:t>https://doi.org/10.1111/ppa.12993</w:t>
        </w:r>
      </w:hyperlink>
      <w:r w:rsidRPr="001A38C8">
        <w:rPr>
          <w:rFonts w:cs="Times New Roman"/>
        </w:rPr>
        <w:t xml:space="preserve"> (2019).</w:t>
      </w:r>
      <w:bookmarkEnd w:id="65"/>
    </w:p>
    <w:p w14:paraId="3AE0030E" w14:textId="77777777" w:rsidR="00B350F7" w:rsidRPr="001A38C8" w:rsidRDefault="00000000">
      <w:pPr>
        <w:pStyle w:val="BodyText"/>
        <w:ind w:left="360" w:hanging="360"/>
        <w:rPr>
          <w:rFonts w:cs="Times New Roman"/>
        </w:rPr>
      </w:pPr>
      <w:bookmarkStart w:id="66" w:name="Reference_14"/>
      <w:r w:rsidRPr="001A38C8">
        <w:rPr>
          <w:rFonts w:cs="Times New Roman"/>
        </w:rPr>
        <w:t xml:space="preserve">14 Vercesi A, Toffolatti SL, Zocchi G, Guglielmann R and Ironi L, A new approach to modelling the dynamics of oospore germination in </w:t>
      </w:r>
      <w:r w:rsidRPr="001A38C8">
        <w:rPr>
          <w:rFonts w:cs="Times New Roman"/>
          <w:i/>
          <w:iCs/>
        </w:rPr>
        <w:t>Plasmopara viticola</w:t>
      </w:r>
      <w:r w:rsidRPr="001A38C8">
        <w:rPr>
          <w:rFonts w:cs="Times New Roman"/>
        </w:rPr>
        <w:t xml:space="preserve">. </w:t>
      </w:r>
      <w:r w:rsidRPr="001A38C8">
        <w:rPr>
          <w:rFonts w:cs="Times New Roman"/>
          <w:i/>
          <w:iCs/>
        </w:rPr>
        <w:t>Eur J Plant Pathol</w:t>
      </w:r>
      <w:r w:rsidRPr="001A38C8">
        <w:rPr>
          <w:rFonts w:cs="Times New Roman"/>
        </w:rPr>
        <w:t xml:space="preserve"> </w:t>
      </w:r>
      <w:r w:rsidRPr="001A38C8">
        <w:rPr>
          <w:rFonts w:cs="Times New Roman"/>
          <w:b/>
          <w:bCs/>
        </w:rPr>
        <w:t>128</w:t>
      </w:r>
      <w:r w:rsidRPr="001A38C8">
        <w:rPr>
          <w:rFonts w:cs="Times New Roman"/>
        </w:rPr>
        <w:t xml:space="preserve">:113–126. </w:t>
      </w:r>
      <w:hyperlink r:id="rId37">
        <w:r w:rsidR="00B350F7" w:rsidRPr="001A38C8">
          <w:rPr>
            <w:rStyle w:val="Hyperlink"/>
            <w:rFonts w:cs="Times New Roman"/>
          </w:rPr>
          <w:t>https://doi.org/10.1007/s10658-010-9635-8</w:t>
        </w:r>
      </w:hyperlink>
      <w:r w:rsidRPr="001A38C8">
        <w:rPr>
          <w:rFonts w:cs="Times New Roman"/>
        </w:rPr>
        <w:t xml:space="preserve"> (2010).</w:t>
      </w:r>
      <w:bookmarkEnd w:id="66"/>
    </w:p>
    <w:p w14:paraId="3EE1F073" w14:textId="77777777" w:rsidR="00B350F7" w:rsidRPr="001A38C8" w:rsidRDefault="00000000">
      <w:pPr>
        <w:pStyle w:val="BodyText"/>
        <w:ind w:left="360" w:hanging="360"/>
        <w:rPr>
          <w:rFonts w:cs="Times New Roman"/>
        </w:rPr>
      </w:pPr>
      <w:bookmarkStart w:id="67" w:name="Reference_15"/>
      <w:r w:rsidRPr="001A38C8">
        <w:rPr>
          <w:rFonts w:cs="Times New Roman"/>
        </w:rPr>
        <w:lastRenderedPageBreak/>
        <w:t xml:space="preserve">15 Koopman T, Linde CC, Fourie PH and McLeod A, Population genetic structure of </w:t>
      </w:r>
      <w:r w:rsidRPr="001A38C8">
        <w:rPr>
          <w:rFonts w:cs="Times New Roman"/>
          <w:i/>
          <w:iCs/>
        </w:rPr>
        <w:t>Plasmopara viticola</w:t>
      </w:r>
      <w:r w:rsidRPr="001A38C8">
        <w:rPr>
          <w:rFonts w:cs="Times New Roman"/>
        </w:rPr>
        <w:t xml:space="preserve"> in the Western Cape Province of South Africa. </w:t>
      </w:r>
      <w:r w:rsidRPr="001A38C8">
        <w:rPr>
          <w:rFonts w:cs="Times New Roman"/>
          <w:i/>
          <w:iCs/>
        </w:rPr>
        <w:t>Mol Plant Pathol</w:t>
      </w:r>
      <w:r w:rsidRPr="001A38C8">
        <w:rPr>
          <w:rFonts w:cs="Times New Roman"/>
        </w:rPr>
        <w:t xml:space="preserve"> </w:t>
      </w:r>
      <w:r w:rsidRPr="001A38C8">
        <w:rPr>
          <w:rFonts w:cs="Times New Roman"/>
          <w:b/>
          <w:bCs/>
        </w:rPr>
        <w:t>8</w:t>
      </w:r>
      <w:r w:rsidRPr="001A38C8">
        <w:rPr>
          <w:rFonts w:cs="Times New Roman"/>
        </w:rPr>
        <w:t xml:space="preserve">:723–736. </w:t>
      </w:r>
      <w:hyperlink r:id="rId38">
        <w:r w:rsidR="00B350F7" w:rsidRPr="001A38C8">
          <w:rPr>
            <w:rStyle w:val="Hyperlink"/>
            <w:rFonts w:cs="Times New Roman"/>
          </w:rPr>
          <w:t>https://doi.org/10.1111/j.1364-3703.2007.00429.x</w:t>
        </w:r>
      </w:hyperlink>
      <w:r w:rsidRPr="001A38C8">
        <w:rPr>
          <w:rFonts w:cs="Times New Roman"/>
        </w:rPr>
        <w:t xml:space="preserve"> (2007).</w:t>
      </w:r>
      <w:bookmarkEnd w:id="67"/>
    </w:p>
    <w:p w14:paraId="7CD246BD" w14:textId="77777777" w:rsidR="00B350F7" w:rsidRPr="001A38C8" w:rsidRDefault="00000000">
      <w:pPr>
        <w:pStyle w:val="BodyText"/>
        <w:ind w:left="360" w:hanging="360"/>
        <w:rPr>
          <w:rFonts w:cs="Times New Roman"/>
        </w:rPr>
      </w:pPr>
      <w:bookmarkStart w:id="68" w:name="Reference_16"/>
      <w:r w:rsidRPr="001A38C8">
        <w:rPr>
          <w:rFonts w:cs="Times New Roman"/>
        </w:rPr>
        <w:t xml:space="preserve">16 Killigrew BX, Sivasithamparam K and Scott ES, Absence of oospores of downy mildew of grape caused by </w:t>
      </w:r>
      <w:r w:rsidRPr="001A38C8">
        <w:rPr>
          <w:rFonts w:cs="Times New Roman"/>
          <w:i/>
          <w:iCs/>
        </w:rPr>
        <w:t>Plasmopara viticola</w:t>
      </w:r>
      <w:r w:rsidRPr="001A38C8">
        <w:rPr>
          <w:rFonts w:cs="Times New Roman"/>
        </w:rPr>
        <w:t xml:space="preserve"> as the source of primary inoculum in most Western Australian vineyards. </w:t>
      </w:r>
      <w:r w:rsidRPr="001A38C8">
        <w:rPr>
          <w:rFonts w:cs="Times New Roman"/>
          <w:i/>
          <w:iCs/>
        </w:rPr>
        <w:t>Plant Dis</w:t>
      </w:r>
      <w:r w:rsidRPr="001A38C8">
        <w:rPr>
          <w:rFonts w:cs="Times New Roman"/>
        </w:rPr>
        <w:t xml:space="preserve"> </w:t>
      </w:r>
      <w:r w:rsidRPr="001A38C8">
        <w:rPr>
          <w:rFonts w:cs="Times New Roman"/>
          <w:b/>
          <w:bCs/>
        </w:rPr>
        <w:t>89</w:t>
      </w:r>
      <w:r w:rsidRPr="001A38C8">
        <w:rPr>
          <w:rFonts w:cs="Times New Roman"/>
        </w:rPr>
        <w:t xml:space="preserve">:777. </w:t>
      </w:r>
      <w:hyperlink r:id="rId39">
        <w:r w:rsidR="00B350F7" w:rsidRPr="001A38C8">
          <w:rPr>
            <w:rStyle w:val="Hyperlink"/>
            <w:rFonts w:cs="Times New Roman"/>
          </w:rPr>
          <w:t>https://doi.org/10.1094/PD-89-0777C</w:t>
        </w:r>
      </w:hyperlink>
      <w:r w:rsidRPr="001A38C8">
        <w:rPr>
          <w:rFonts w:cs="Times New Roman"/>
        </w:rPr>
        <w:t xml:space="preserve"> (2005).</w:t>
      </w:r>
      <w:bookmarkEnd w:id="68"/>
    </w:p>
    <w:p w14:paraId="29F0AE22" w14:textId="77777777" w:rsidR="00B350F7" w:rsidRPr="001A38C8" w:rsidRDefault="00000000">
      <w:pPr>
        <w:pStyle w:val="BodyText"/>
        <w:ind w:left="360" w:hanging="360"/>
        <w:rPr>
          <w:rFonts w:cs="Times New Roman"/>
        </w:rPr>
      </w:pPr>
      <w:bookmarkStart w:id="69" w:name="Reference_17"/>
      <w:r w:rsidRPr="001A38C8">
        <w:rPr>
          <w:rFonts w:cs="Times New Roman"/>
        </w:rPr>
        <w:t>17 Lorenz DH, Eichhorn KW, Bleiholder H, Klose R, Meier U and Weber E, Growth stages of the grapevine: Phenological growth stages of the grapevine (</w:t>
      </w:r>
      <w:r w:rsidRPr="001A38C8">
        <w:rPr>
          <w:rFonts w:cs="Times New Roman"/>
          <w:i/>
          <w:iCs/>
        </w:rPr>
        <w:t>Vitis vinifera</w:t>
      </w:r>
      <w:r w:rsidRPr="001A38C8">
        <w:rPr>
          <w:rFonts w:cs="Times New Roman"/>
        </w:rPr>
        <w:t xml:space="preserve"> L. ssp. vinifera)—Codes and descriptions according to the extended BBCH scale. </w:t>
      </w:r>
      <w:r w:rsidRPr="001A38C8">
        <w:rPr>
          <w:rFonts w:cs="Times New Roman"/>
          <w:i/>
          <w:iCs/>
        </w:rPr>
        <w:t>Aust J Grape Wine Res</w:t>
      </w:r>
      <w:r w:rsidRPr="001A38C8">
        <w:rPr>
          <w:rFonts w:cs="Times New Roman"/>
        </w:rPr>
        <w:t xml:space="preserve"> </w:t>
      </w:r>
      <w:r w:rsidRPr="001A38C8">
        <w:rPr>
          <w:rFonts w:cs="Times New Roman"/>
          <w:b/>
          <w:bCs/>
        </w:rPr>
        <w:t>1</w:t>
      </w:r>
      <w:r w:rsidRPr="001A38C8">
        <w:rPr>
          <w:rFonts w:cs="Times New Roman"/>
        </w:rPr>
        <w:t xml:space="preserve">:100–103. </w:t>
      </w:r>
      <w:hyperlink r:id="rId40">
        <w:r w:rsidR="00B350F7" w:rsidRPr="001A38C8">
          <w:rPr>
            <w:rStyle w:val="Hyperlink"/>
            <w:rFonts w:cs="Times New Roman"/>
          </w:rPr>
          <w:t>https://doi.org/10.1111/j.1755-0238.1995.tb00085.x</w:t>
        </w:r>
      </w:hyperlink>
      <w:r w:rsidRPr="001A38C8">
        <w:rPr>
          <w:rFonts w:cs="Times New Roman"/>
        </w:rPr>
        <w:t xml:space="preserve"> (1995).</w:t>
      </w:r>
      <w:bookmarkEnd w:id="69"/>
    </w:p>
    <w:p w14:paraId="1155105E" w14:textId="77777777" w:rsidR="00B350F7" w:rsidRPr="001A38C8" w:rsidRDefault="00000000">
      <w:pPr>
        <w:pStyle w:val="BodyText"/>
        <w:ind w:left="360" w:hanging="360"/>
        <w:rPr>
          <w:rFonts w:cs="Times New Roman"/>
        </w:rPr>
      </w:pPr>
      <w:bookmarkStart w:id="70" w:name="Reference_18"/>
      <w:r w:rsidRPr="001A38C8">
        <w:rPr>
          <w:rFonts w:cs="Times New Roman"/>
        </w:rPr>
        <w:t xml:space="preserve">18 Hersbach H, Bell B, Berrisford P, Hirahara S, Horányi A, Muñoz-Sabater J et al., The ERA5 global reanalysis. </w:t>
      </w:r>
      <w:r w:rsidRPr="001A38C8">
        <w:rPr>
          <w:rFonts w:cs="Times New Roman"/>
          <w:i/>
          <w:iCs/>
        </w:rPr>
        <w:t>Q J R Meteorol Soc</w:t>
      </w:r>
      <w:r w:rsidRPr="001A38C8">
        <w:rPr>
          <w:rFonts w:cs="Times New Roman"/>
        </w:rPr>
        <w:t xml:space="preserve"> </w:t>
      </w:r>
      <w:r w:rsidRPr="001A38C8">
        <w:rPr>
          <w:rFonts w:cs="Times New Roman"/>
          <w:b/>
          <w:bCs/>
        </w:rPr>
        <w:t>146</w:t>
      </w:r>
      <w:r w:rsidRPr="001A38C8">
        <w:rPr>
          <w:rFonts w:cs="Times New Roman"/>
        </w:rPr>
        <w:t xml:space="preserve">:1999–2049. </w:t>
      </w:r>
      <w:hyperlink r:id="rId41">
        <w:r w:rsidR="00B350F7" w:rsidRPr="001A38C8">
          <w:rPr>
            <w:rStyle w:val="Hyperlink"/>
            <w:rFonts w:cs="Times New Roman"/>
          </w:rPr>
          <w:t>https://doi.org/10.1002/qj.3803</w:t>
        </w:r>
      </w:hyperlink>
      <w:r w:rsidRPr="001A38C8">
        <w:rPr>
          <w:rFonts w:cs="Times New Roman"/>
        </w:rPr>
        <w:t xml:space="preserve"> (2020).</w:t>
      </w:r>
      <w:bookmarkEnd w:id="70"/>
    </w:p>
    <w:p w14:paraId="07619A9A" w14:textId="77777777" w:rsidR="00B350F7" w:rsidRPr="001A38C8" w:rsidRDefault="00000000">
      <w:pPr>
        <w:pStyle w:val="BodyText"/>
        <w:ind w:left="360" w:hanging="360"/>
        <w:rPr>
          <w:rFonts w:cs="Times New Roman"/>
        </w:rPr>
      </w:pPr>
      <w:bookmarkStart w:id="71" w:name="Reference_19"/>
      <w:r w:rsidRPr="001A38C8">
        <w:rPr>
          <w:rFonts w:cs="Times New Roman"/>
        </w:rPr>
        <w:t xml:space="preserve">19 Huber L and Gillespie TJ, Modeling leaf wetness in relation to plant disease epidemiology. </w:t>
      </w:r>
      <w:r w:rsidRPr="001A38C8">
        <w:rPr>
          <w:rFonts w:cs="Times New Roman"/>
          <w:i/>
          <w:iCs/>
        </w:rPr>
        <w:t>Annu Rev Phytopathol</w:t>
      </w:r>
      <w:r w:rsidRPr="001A38C8">
        <w:rPr>
          <w:rFonts w:cs="Times New Roman"/>
        </w:rPr>
        <w:t xml:space="preserve"> </w:t>
      </w:r>
      <w:r w:rsidRPr="001A38C8">
        <w:rPr>
          <w:rFonts w:cs="Times New Roman"/>
          <w:b/>
          <w:bCs/>
        </w:rPr>
        <w:t>30</w:t>
      </w:r>
      <w:r w:rsidRPr="001A38C8">
        <w:rPr>
          <w:rFonts w:cs="Times New Roman"/>
        </w:rPr>
        <w:t xml:space="preserve">:553–577. </w:t>
      </w:r>
      <w:hyperlink r:id="rId42">
        <w:r w:rsidR="00B350F7" w:rsidRPr="001A38C8">
          <w:rPr>
            <w:rStyle w:val="Hyperlink"/>
            <w:rFonts w:cs="Times New Roman"/>
          </w:rPr>
          <w:t>https://doi.org/10.1146/annurev.py.30.090192.003005</w:t>
        </w:r>
      </w:hyperlink>
      <w:r w:rsidRPr="001A38C8">
        <w:rPr>
          <w:rFonts w:cs="Times New Roman"/>
        </w:rPr>
        <w:t xml:space="preserve"> (1992).</w:t>
      </w:r>
      <w:bookmarkEnd w:id="71"/>
    </w:p>
    <w:p w14:paraId="4674BF1E" w14:textId="77777777" w:rsidR="00B350F7" w:rsidRPr="001A38C8" w:rsidRDefault="00000000">
      <w:pPr>
        <w:pStyle w:val="BodyText"/>
        <w:ind w:left="360" w:hanging="360"/>
        <w:rPr>
          <w:rFonts w:cs="Times New Roman"/>
        </w:rPr>
      </w:pPr>
      <w:bookmarkStart w:id="72" w:name="Reference_20"/>
      <w:r w:rsidRPr="001A38C8">
        <w:rPr>
          <w:rFonts w:cs="Times New Roman"/>
        </w:rPr>
        <w:t xml:space="preserve">20 Sobol IM, Global sensitivity indices for nonlinear mathematical models and their Monte Carlo estimates. </w:t>
      </w:r>
      <w:r w:rsidRPr="001A38C8">
        <w:rPr>
          <w:rFonts w:cs="Times New Roman"/>
          <w:i/>
          <w:iCs/>
        </w:rPr>
        <w:t>Math Comput Simul</w:t>
      </w:r>
      <w:r w:rsidRPr="001A38C8">
        <w:rPr>
          <w:rFonts w:cs="Times New Roman"/>
        </w:rPr>
        <w:t xml:space="preserve"> </w:t>
      </w:r>
      <w:r w:rsidRPr="001A38C8">
        <w:rPr>
          <w:rFonts w:cs="Times New Roman"/>
          <w:b/>
          <w:bCs/>
        </w:rPr>
        <w:t>55</w:t>
      </w:r>
      <w:r w:rsidRPr="001A38C8">
        <w:rPr>
          <w:rFonts w:cs="Times New Roman"/>
        </w:rPr>
        <w:t xml:space="preserve">:271–280. </w:t>
      </w:r>
      <w:hyperlink r:id="rId43">
        <w:r w:rsidR="00B350F7" w:rsidRPr="001A38C8">
          <w:rPr>
            <w:rStyle w:val="Hyperlink"/>
            <w:rFonts w:cs="Times New Roman"/>
          </w:rPr>
          <w:t>https://doi.org/10.1016/S0378-4754(00)00270-6</w:t>
        </w:r>
      </w:hyperlink>
      <w:r w:rsidRPr="001A38C8">
        <w:rPr>
          <w:rFonts w:cs="Times New Roman"/>
        </w:rPr>
        <w:t xml:space="preserve"> (2001).</w:t>
      </w:r>
      <w:bookmarkEnd w:id="72"/>
    </w:p>
    <w:p w14:paraId="07D4AC15" w14:textId="77777777" w:rsidR="00B350F7" w:rsidRPr="001A38C8" w:rsidRDefault="00000000">
      <w:pPr>
        <w:pStyle w:val="BodyText"/>
        <w:ind w:left="360" w:hanging="360"/>
        <w:rPr>
          <w:rFonts w:cs="Times New Roman"/>
        </w:rPr>
      </w:pPr>
      <w:bookmarkStart w:id="73" w:name="Reference_21"/>
      <w:r w:rsidRPr="001A38C8">
        <w:rPr>
          <w:rFonts w:cs="Times New Roman"/>
        </w:rPr>
        <w:t xml:space="preserve">21 Wang H, Zhang W, Bregaglio S, Yu S, Li X, Li Y et al., Adoption of Sobol’s analysis method improved the application of a coupled primary and secondary infection grape downy mildew model in northern China. </w:t>
      </w:r>
      <w:r w:rsidRPr="001A38C8">
        <w:rPr>
          <w:rFonts w:cs="Times New Roman"/>
          <w:i/>
          <w:iCs/>
        </w:rPr>
        <w:t>Comput Electron Agric</w:t>
      </w:r>
      <w:r w:rsidRPr="001A38C8">
        <w:rPr>
          <w:rFonts w:cs="Times New Roman"/>
        </w:rPr>
        <w:t xml:space="preserve"> </w:t>
      </w:r>
      <w:r w:rsidRPr="001A38C8">
        <w:rPr>
          <w:rFonts w:cs="Times New Roman"/>
          <w:b/>
          <w:bCs/>
        </w:rPr>
        <w:t>199</w:t>
      </w:r>
      <w:r w:rsidRPr="001A38C8">
        <w:rPr>
          <w:rFonts w:cs="Times New Roman"/>
        </w:rPr>
        <w:t xml:space="preserve">:107154. </w:t>
      </w:r>
      <w:hyperlink r:id="rId44">
        <w:r w:rsidR="00B350F7" w:rsidRPr="001A38C8">
          <w:rPr>
            <w:rStyle w:val="Hyperlink"/>
            <w:rFonts w:cs="Times New Roman"/>
          </w:rPr>
          <w:t>https://doi.org/10.1016/j.compag.2022.107154</w:t>
        </w:r>
      </w:hyperlink>
      <w:r w:rsidRPr="001A38C8">
        <w:rPr>
          <w:rFonts w:cs="Times New Roman"/>
        </w:rPr>
        <w:t xml:space="preserve"> (2022).</w:t>
      </w:r>
      <w:bookmarkEnd w:id="73"/>
    </w:p>
    <w:p w14:paraId="04DA4E5D" w14:textId="77777777" w:rsidR="00B350F7" w:rsidRPr="001A38C8" w:rsidRDefault="00000000">
      <w:pPr>
        <w:pStyle w:val="BodyText"/>
        <w:ind w:left="360" w:hanging="360"/>
        <w:rPr>
          <w:rFonts w:cs="Times New Roman"/>
        </w:rPr>
      </w:pPr>
      <w:bookmarkStart w:id="74" w:name="Reference_22"/>
      <w:r w:rsidRPr="001A38C8">
        <w:rPr>
          <w:rFonts w:cs="Times New Roman"/>
        </w:rPr>
        <w:lastRenderedPageBreak/>
        <w:t xml:space="preserve">22 Iooss B and Lemaître P, A review on global sensitivity analysis methods, in </w:t>
      </w:r>
      <w:r w:rsidRPr="001A38C8">
        <w:rPr>
          <w:rFonts w:cs="Times New Roman"/>
          <w:i/>
          <w:iCs/>
        </w:rPr>
        <w:t>Uncertainty Management in Simulation-Optimization of Complex Systems</w:t>
      </w:r>
      <w:r w:rsidRPr="001A38C8">
        <w:rPr>
          <w:rFonts w:cs="Times New Roman"/>
        </w:rPr>
        <w:t xml:space="preserve">, ed. by Dellino G and Meloni C. Springer, Boston, MA, pp. 101–122. </w:t>
      </w:r>
      <w:hyperlink r:id="rId45">
        <w:r w:rsidR="00B350F7" w:rsidRPr="001A38C8">
          <w:rPr>
            <w:rStyle w:val="Hyperlink"/>
            <w:rFonts w:cs="Times New Roman"/>
          </w:rPr>
          <w:t>https://doi.org/10.1007/978-1-4899-7547-8_5</w:t>
        </w:r>
      </w:hyperlink>
      <w:r w:rsidRPr="001A38C8">
        <w:rPr>
          <w:rFonts w:cs="Times New Roman"/>
        </w:rPr>
        <w:t xml:space="preserve"> (2015).</w:t>
      </w:r>
      <w:bookmarkEnd w:id="74"/>
    </w:p>
    <w:p w14:paraId="45FD0A1F" w14:textId="77777777" w:rsidR="00B350F7" w:rsidRPr="001A38C8" w:rsidRDefault="00000000">
      <w:pPr>
        <w:pStyle w:val="BodyText"/>
        <w:ind w:left="360" w:hanging="360"/>
        <w:rPr>
          <w:rFonts w:cs="Times New Roman"/>
        </w:rPr>
      </w:pPr>
      <w:bookmarkStart w:id="75" w:name="Reference_23"/>
      <w:r w:rsidRPr="001A38C8">
        <w:rPr>
          <w:rFonts w:cs="Times New Roman"/>
        </w:rPr>
        <w:t xml:space="preserve">23 Kennelly MM, Gadoury DM, Wilcox WF, Magarey PA and Seem RC, Seasonal development of ontogenic resistance to downy mildew in grape berries and rachises. </w:t>
      </w:r>
      <w:r w:rsidRPr="001A38C8">
        <w:rPr>
          <w:rFonts w:cs="Times New Roman"/>
          <w:i/>
          <w:iCs/>
        </w:rPr>
        <w:t>Phytopathology</w:t>
      </w:r>
      <w:r w:rsidRPr="001A38C8">
        <w:rPr>
          <w:rFonts w:cs="Times New Roman"/>
        </w:rPr>
        <w:t xml:space="preserve"> </w:t>
      </w:r>
      <w:r w:rsidRPr="001A38C8">
        <w:rPr>
          <w:rFonts w:cs="Times New Roman"/>
          <w:b/>
          <w:bCs/>
        </w:rPr>
        <w:t>95</w:t>
      </w:r>
      <w:r w:rsidRPr="001A38C8">
        <w:rPr>
          <w:rFonts w:cs="Times New Roman"/>
        </w:rPr>
        <w:t xml:space="preserve">:1445–1452. </w:t>
      </w:r>
      <w:hyperlink r:id="rId46">
        <w:r w:rsidR="00B350F7" w:rsidRPr="001A38C8">
          <w:rPr>
            <w:rStyle w:val="Hyperlink"/>
            <w:rFonts w:cs="Times New Roman"/>
          </w:rPr>
          <w:t>https://doi.org/10.1094/PHYTO-95-1445</w:t>
        </w:r>
      </w:hyperlink>
      <w:r w:rsidRPr="001A38C8">
        <w:rPr>
          <w:rFonts w:cs="Times New Roman"/>
        </w:rPr>
        <w:t xml:space="preserve"> (2005).</w:t>
      </w:r>
      <w:bookmarkEnd w:id="75"/>
    </w:p>
    <w:p w14:paraId="177A13EB" w14:textId="77777777" w:rsidR="00B350F7" w:rsidRPr="001A38C8" w:rsidRDefault="00000000">
      <w:pPr>
        <w:pStyle w:val="BodyText"/>
        <w:ind w:left="360" w:hanging="360"/>
        <w:rPr>
          <w:rFonts w:cs="Times New Roman"/>
        </w:rPr>
      </w:pPr>
      <w:bookmarkStart w:id="76" w:name="Reference_24"/>
      <w:r w:rsidRPr="001A38C8">
        <w:rPr>
          <w:rFonts w:cs="Times New Roman"/>
        </w:rPr>
        <w:t xml:space="preserve">24 Reuveni M, Relationships between leaf age, peroxidase and </w:t>
      </w:r>
      <m:oMath>
        <m:r>
          <w:rPr>
            <w:rFonts w:ascii="Cambria Math" w:hAnsi="Cambria Math" w:cs="Times New Roman"/>
          </w:rPr>
          <m:t>β</m:t>
        </m:r>
      </m:oMath>
      <w:r w:rsidRPr="001A38C8">
        <w:rPr>
          <w:rFonts w:cs="Times New Roman"/>
        </w:rPr>
        <w:t xml:space="preserve">-1,3-glucanase activity, and resistance to downy mildew in grapevines. </w:t>
      </w:r>
      <w:r w:rsidRPr="001A38C8">
        <w:rPr>
          <w:rFonts w:cs="Times New Roman"/>
          <w:i/>
          <w:iCs/>
        </w:rPr>
        <w:t>J Phytopathol</w:t>
      </w:r>
      <w:r w:rsidRPr="001A38C8">
        <w:rPr>
          <w:rFonts w:cs="Times New Roman"/>
        </w:rPr>
        <w:t xml:space="preserve"> </w:t>
      </w:r>
      <w:r w:rsidRPr="001A38C8">
        <w:rPr>
          <w:rFonts w:cs="Times New Roman"/>
          <w:b/>
          <w:bCs/>
        </w:rPr>
        <w:t>146</w:t>
      </w:r>
      <w:r w:rsidRPr="001A38C8">
        <w:rPr>
          <w:rFonts w:cs="Times New Roman"/>
        </w:rPr>
        <w:t xml:space="preserve">:525–530. </w:t>
      </w:r>
      <w:hyperlink r:id="rId47">
        <w:r w:rsidR="00B350F7" w:rsidRPr="001A38C8">
          <w:rPr>
            <w:rStyle w:val="Hyperlink"/>
            <w:rFonts w:cs="Times New Roman"/>
          </w:rPr>
          <w:t>https://doi.org/10.1111/j.1439-0434.1998.tb04615.x</w:t>
        </w:r>
      </w:hyperlink>
      <w:r w:rsidRPr="001A38C8">
        <w:rPr>
          <w:rFonts w:cs="Times New Roman"/>
        </w:rPr>
        <w:t xml:space="preserve"> (1998).</w:t>
      </w:r>
      <w:bookmarkEnd w:id="76"/>
    </w:p>
    <w:p w14:paraId="415ACAE1" w14:textId="77777777" w:rsidR="00B350F7" w:rsidRPr="001A38C8" w:rsidRDefault="00000000">
      <w:pPr>
        <w:pStyle w:val="BodyText"/>
        <w:ind w:left="360" w:hanging="360"/>
        <w:rPr>
          <w:rFonts w:cs="Times New Roman"/>
        </w:rPr>
      </w:pPr>
      <w:bookmarkStart w:id="77" w:name="Reference_25"/>
      <w:r w:rsidRPr="001A38C8">
        <w:rPr>
          <w:rFonts w:cs="Times New Roman"/>
        </w:rPr>
        <w:t xml:space="preserve">25 Karabektaşoğlu Ş, Köse B and Svyantek A, Investigation of the phenological and climate indices of some table and wine grapes and their growing status in the Samsun-Bafra Plain (Türkiye). </w:t>
      </w:r>
      <w:r w:rsidRPr="001A38C8">
        <w:rPr>
          <w:rFonts w:cs="Times New Roman"/>
          <w:i/>
          <w:iCs/>
        </w:rPr>
        <w:t>Anadolu J Agric Sci</w:t>
      </w:r>
      <w:r w:rsidRPr="001A38C8">
        <w:rPr>
          <w:rFonts w:cs="Times New Roman"/>
        </w:rPr>
        <w:t xml:space="preserve"> </w:t>
      </w:r>
      <w:r w:rsidRPr="001A38C8">
        <w:rPr>
          <w:rFonts w:cs="Times New Roman"/>
          <w:b/>
          <w:bCs/>
        </w:rPr>
        <w:t>39</w:t>
      </w:r>
      <w:r w:rsidRPr="001A38C8">
        <w:rPr>
          <w:rFonts w:cs="Times New Roman"/>
        </w:rPr>
        <w:t xml:space="preserve">:143–162. </w:t>
      </w:r>
      <w:hyperlink r:id="rId48">
        <w:r w:rsidR="00B350F7" w:rsidRPr="001A38C8">
          <w:rPr>
            <w:rStyle w:val="Hyperlink"/>
            <w:rFonts w:cs="Times New Roman"/>
          </w:rPr>
          <w:t>https://doi.org/10.7161/omuanajas.1394670</w:t>
        </w:r>
      </w:hyperlink>
      <w:r w:rsidRPr="001A38C8">
        <w:rPr>
          <w:rFonts w:cs="Times New Roman"/>
        </w:rPr>
        <w:t xml:space="preserve"> (2024).</w:t>
      </w:r>
      <w:bookmarkEnd w:id="77"/>
    </w:p>
    <w:p w14:paraId="5325EF88" w14:textId="77777777" w:rsidR="00B350F7" w:rsidRPr="001A38C8" w:rsidRDefault="00000000">
      <w:pPr>
        <w:pStyle w:val="BodyText"/>
        <w:ind w:left="360" w:hanging="360"/>
        <w:rPr>
          <w:rFonts w:cs="Times New Roman"/>
        </w:rPr>
      </w:pPr>
      <w:bookmarkStart w:id="78" w:name="Reference_26"/>
      <w:r w:rsidRPr="001A38C8">
        <w:rPr>
          <w:rFonts w:cs="Times New Roman"/>
        </w:rPr>
        <w:t xml:space="preserve">26 Hu M and Fiola J, Downy mildew management. University of Maryland Extension. </w:t>
      </w:r>
      <w:hyperlink r:id="rId49">
        <w:r w:rsidR="00B350F7" w:rsidRPr="001A38C8">
          <w:rPr>
            <w:rStyle w:val="Hyperlink"/>
            <w:rFonts w:cs="Times New Roman"/>
          </w:rPr>
          <w:t>https://extension.umd.edu/resource/downy-mildew-management</w:t>
        </w:r>
      </w:hyperlink>
      <w:r w:rsidRPr="001A38C8">
        <w:rPr>
          <w:rFonts w:cs="Times New Roman"/>
        </w:rPr>
        <w:t xml:space="preserve"> (2024) [accessed 9 October 2026].</w:t>
      </w:r>
      <w:bookmarkEnd w:id="78"/>
    </w:p>
    <w:p w14:paraId="71630D6B" w14:textId="77777777" w:rsidR="00B350F7" w:rsidRPr="001A38C8" w:rsidRDefault="00000000">
      <w:pPr>
        <w:pStyle w:val="BodyText"/>
        <w:ind w:left="360" w:hanging="360"/>
        <w:rPr>
          <w:rFonts w:cs="Times New Roman"/>
        </w:rPr>
      </w:pPr>
      <w:bookmarkStart w:id="79" w:name="Reference_27"/>
      <w:r w:rsidRPr="001A38C8">
        <w:rPr>
          <w:rFonts w:cs="Times New Roman"/>
        </w:rPr>
        <w:t xml:space="preserve">27 Wang X, Li H and García De Cortázar Atauri I, Assessing grapevine phenological models under Chinese climatic conditions. </w:t>
      </w:r>
      <w:r w:rsidRPr="001A38C8">
        <w:rPr>
          <w:rFonts w:cs="Times New Roman"/>
          <w:i/>
          <w:iCs/>
        </w:rPr>
        <w:t>OENO One</w:t>
      </w:r>
      <w:r w:rsidRPr="001A38C8">
        <w:rPr>
          <w:rFonts w:cs="Times New Roman"/>
        </w:rPr>
        <w:t xml:space="preserve"> </w:t>
      </w:r>
      <w:r w:rsidRPr="001A38C8">
        <w:rPr>
          <w:rFonts w:cs="Times New Roman"/>
          <w:b/>
          <w:bCs/>
        </w:rPr>
        <w:t>54</w:t>
      </w:r>
      <w:r w:rsidRPr="001A38C8">
        <w:rPr>
          <w:rFonts w:cs="Times New Roman"/>
        </w:rPr>
        <w:t xml:space="preserve">:637–656. </w:t>
      </w:r>
      <w:hyperlink r:id="rId50">
        <w:r w:rsidR="00B350F7" w:rsidRPr="001A38C8">
          <w:rPr>
            <w:rStyle w:val="Hyperlink"/>
            <w:rFonts w:cs="Times New Roman"/>
          </w:rPr>
          <w:t>https://doi.org/10.20870/oeno-one.2020.54.3.3195</w:t>
        </w:r>
      </w:hyperlink>
      <w:r w:rsidRPr="001A38C8">
        <w:rPr>
          <w:rFonts w:cs="Times New Roman"/>
        </w:rPr>
        <w:t xml:space="preserve"> (2020).</w:t>
      </w:r>
      <w:bookmarkEnd w:id="79"/>
    </w:p>
    <w:p w14:paraId="0006B9FC" w14:textId="77777777" w:rsidR="00B350F7" w:rsidRPr="001A38C8" w:rsidRDefault="00000000">
      <w:pPr>
        <w:pStyle w:val="BodyText"/>
        <w:ind w:left="360" w:hanging="360"/>
        <w:rPr>
          <w:rFonts w:cs="Times New Roman"/>
        </w:rPr>
      </w:pPr>
      <w:bookmarkStart w:id="80" w:name="Reference_28"/>
      <w:r w:rsidRPr="001A38C8">
        <w:rPr>
          <w:rFonts w:cs="Times New Roman"/>
        </w:rPr>
        <w:t xml:space="preserve">28 Bitencourt C, Perazzoli V, de Freitas FR, Soldi C, da Silva AL and Welter LJ, Sexual reproduction of </w:t>
      </w:r>
      <w:r w:rsidRPr="001A38C8">
        <w:rPr>
          <w:rFonts w:cs="Times New Roman"/>
          <w:i/>
          <w:iCs/>
        </w:rPr>
        <w:t>Plasmopara viticola</w:t>
      </w:r>
      <w:r w:rsidRPr="001A38C8">
        <w:rPr>
          <w:rFonts w:cs="Times New Roman"/>
        </w:rPr>
        <w:t xml:space="preserve"> in wine regions of southern Brazil, climatic suitability, oospore formation and germination. </w:t>
      </w:r>
      <w:r w:rsidRPr="001A38C8">
        <w:rPr>
          <w:rFonts w:cs="Times New Roman"/>
          <w:i/>
          <w:iCs/>
        </w:rPr>
        <w:t>Plant Pathol</w:t>
      </w:r>
      <w:r w:rsidRPr="001A38C8">
        <w:rPr>
          <w:rFonts w:cs="Times New Roman"/>
        </w:rPr>
        <w:t xml:space="preserve"> </w:t>
      </w:r>
      <w:r w:rsidRPr="001A38C8">
        <w:rPr>
          <w:rFonts w:cs="Times New Roman"/>
          <w:b/>
          <w:bCs/>
        </w:rPr>
        <w:t>75</w:t>
      </w:r>
      <w:r w:rsidRPr="001A38C8">
        <w:rPr>
          <w:rFonts w:cs="Times New Roman"/>
        </w:rPr>
        <w:t xml:space="preserve">:e70175. </w:t>
      </w:r>
      <w:hyperlink r:id="rId51">
        <w:r w:rsidR="00B350F7" w:rsidRPr="001A38C8">
          <w:rPr>
            <w:rStyle w:val="Hyperlink"/>
            <w:rFonts w:cs="Times New Roman"/>
          </w:rPr>
          <w:t>https://doi.org/10.1111/ppa.70175</w:t>
        </w:r>
      </w:hyperlink>
      <w:r w:rsidRPr="001A38C8">
        <w:rPr>
          <w:rFonts w:cs="Times New Roman"/>
        </w:rPr>
        <w:t xml:space="preserve"> (2026).</w:t>
      </w:r>
      <w:bookmarkEnd w:id="80"/>
    </w:p>
    <w:p w14:paraId="1D19B29E" w14:textId="77777777" w:rsidR="00B350F7" w:rsidRPr="001A38C8" w:rsidRDefault="00000000">
      <w:pPr>
        <w:pStyle w:val="BodyText"/>
        <w:ind w:left="360" w:hanging="360"/>
        <w:rPr>
          <w:rFonts w:cs="Times New Roman"/>
        </w:rPr>
      </w:pPr>
      <w:bookmarkStart w:id="81" w:name="Reference_29"/>
      <w:r w:rsidRPr="001A38C8">
        <w:rPr>
          <w:rFonts w:cs="Times New Roman"/>
        </w:rPr>
        <w:lastRenderedPageBreak/>
        <w:t xml:space="preserve">29 Muthukumar G, Kamalakannan A, Johnson I, Kamaraj P, Muthuvel I, Varanavasiappan S et al., Early detection and quantification of airborne inocula of </w:t>
      </w:r>
      <w:r w:rsidRPr="001A38C8">
        <w:rPr>
          <w:rFonts w:cs="Times New Roman"/>
          <w:i/>
          <w:iCs/>
        </w:rPr>
        <w:t>Plasmopara viticola</w:t>
      </w:r>
      <w:r w:rsidRPr="001A38C8">
        <w:rPr>
          <w:rFonts w:cs="Times New Roman"/>
        </w:rPr>
        <w:t xml:space="preserve"> causing grapevine downy mildew using impaction spore trap. </w:t>
      </w:r>
      <w:r w:rsidRPr="001A38C8">
        <w:rPr>
          <w:rFonts w:cs="Times New Roman"/>
          <w:i/>
          <w:iCs/>
        </w:rPr>
        <w:t>Physiol Mol Plant Pathol</w:t>
      </w:r>
      <w:r w:rsidRPr="001A38C8">
        <w:rPr>
          <w:rFonts w:cs="Times New Roman"/>
        </w:rPr>
        <w:t xml:space="preserve"> </w:t>
      </w:r>
      <w:r w:rsidRPr="001A38C8">
        <w:rPr>
          <w:rFonts w:cs="Times New Roman"/>
          <w:b/>
          <w:bCs/>
        </w:rPr>
        <w:t>139</w:t>
      </w:r>
      <w:r w:rsidRPr="001A38C8">
        <w:rPr>
          <w:rFonts w:cs="Times New Roman"/>
        </w:rPr>
        <w:t xml:space="preserve">:102842. </w:t>
      </w:r>
      <w:hyperlink r:id="rId52">
        <w:r w:rsidR="00B350F7" w:rsidRPr="001A38C8">
          <w:rPr>
            <w:rStyle w:val="Hyperlink"/>
            <w:rFonts w:cs="Times New Roman"/>
          </w:rPr>
          <w:t>https://doi.org/10.1016/j.pmpp.2025.102842</w:t>
        </w:r>
      </w:hyperlink>
      <w:r w:rsidRPr="001A38C8">
        <w:rPr>
          <w:rFonts w:cs="Times New Roman"/>
        </w:rPr>
        <w:t xml:space="preserve"> (2025).</w:t>
      </w:r>
      <w:bookmarkEnd w:id="81"/>
    </w:p>
    <w:p w14:paraId="7DE62878" w14:textId="77777777" w:rsidR="00B350F7" w:rsidRPr="001A38C8" w:rsidRDefault="00000000">
      <w:pPr>
        <w:pStyle w:val="BodyText"/>
        <w:ind w:left="360" w:hanging="360"/>
        <w:rPr>
          <w:rFonts w:cs="Times New Roman"/>
        </w:rPr>
      </w:pPr>
      <w:bookmarkStart w:id="82" w:name="Reference_30"/>
      <w:r w:rsidRPr="001A38C8">
        <w:rPr>
          <w:rFonts w:cs="Times New Roman"/>
        </w:rPr>
        <w:t xml:space="preserve">30 Malvessi Cattani A, Zeder Y, Graf E, Schwendimann A, Coronelli R, Smit-Sadki T et al., Automated air-flow cytometry enables real-time monitoring of </w:t>
      </w:r>
      <w:r w:rsidRPr="001A38C8">
        <w:rPr>
          <w:rFonts w:cs="Times New Roman"/>
          <w:i/>
          <w:iCs/>
        </w:rPr>
        <w:t>Plasmopara viticola</w:t>
      </w:r>
      <w:r w:rsidRPr="001A38C8">
        <w:rPr>
          <w:rFonts w:cs="Times New Roman"/>
        </w:rPr>
        <w:t xml:space="preserve"> sporangia in vineyards. </w:t>
      </w:r>
      <w:r w:rsidRPr="001A38C8">
        <w:rPr>
          <w:rFonts w:cs="Times New Roman"/>
          <w:i/>
          <w:iCs/>
        </w:rPr>
        <w:t>Appl Environ Microbiol</w:t>
      </w:r>
      <w:r w:rsidRPr="001A38C8">
        <w:rPr>
          <w:rFonts w:cs="Times New Roman"/>
        </w:rPr>
        <w:t xml:space="preserve"> </w:t>
      </w:r>
      <w:r w:rsidRPr="001A38C8">
        <w:rPr>
          <w:rFonts w:cs="Times New Roman"/>
          <w:b/>
          <w:bCs/>
        </w:rPr>
        <w:t>92</w:t>
      </w:r>
      <w:r w:rsidRPr="001A38C8">
        <w:rPr>
          <w:rFonts w:cs="Times New Roman"/>
        </w:rPr>
        <w:t xml:space="preserve">:e02152-25. </w:t>
      </w:r>
      <w:hyperlink r:id="rId53">
        <w:r w:rsidR="00B350F7" w:rsidRPr="001A38C8">
          <w:rPr>
            <w:rStyle w:val="Hyperlink"/>
            <w:rFonts w:cs="Times New Roman"/>
          </w:rPr>
          <w:t>https://doi.org/10.1128/aem.02152-25</w:t>
        </w:r>
      </w:hyperlink>
      <w:r w:rsidRPr="001A38C8">
        <w:rPr>
          <w:rFonts w:cs="Times New Roman"/>
        </w:rPr>
        <w:t xml:space="preserve"> (2026).</w:t>
      </w:r>
      <w:bookmarkEnd w:id="52"/>
      <w:bookmarkEnd w:id="82"/>
    </w:p>
    <w:sectPr w:rsidR="00B350F7" w:rsidRPr="001A38C8">
      <w:footerReference w:type="default" r:id="rId54"/>
      <w:footnotePr>
        <w:numRestart w:val="eachSect"/>
      </w:footnotePr>
      <w:pgSz w:w="11906" w:h="16838"/>
      <w:pgMar w:top="1440" w:right="1440" w:bottom="1440" w:left="1440" w:header="648" w:footer="648" w:gutter="0"/>
      <w:lnNumType w:countBy="1" w:distance="120"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659ECB2" w14:textId="77777777" w:rsidR="00DC263A" w:rsidRDefault="00DC263A">
      <w:pPr>
        <w:spacing w:after="0" w:line="240" w:lineRule="auto"/>
      </w:pPr>
      <w:r>
        <w:separator/>
      </w:r>
    </w:p>
  </w:endnote>
  <w:endnote w:type="continuationSeparator" w:id="0">
    <w:p w14:paraId="3E74AFBA" w14:textId="77777777" w:rsidR="00DC263A" w:rsidRDefault="00DC26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A146EE" w14:textId="77777777" w:rsidR="00B350F7" w:rsidRDefault="00000000">
    <w:pPr>
      <w:suppressLineNumbers/>
      <w:spacing w:line="240" w:lineRule="auto"/>
      <w:jc w:val="center"/>
    </w:pPr>
    <w:r>
      <w:fldChar w:fldCharType="begin"/>
    </w:r>
    <w:r>
      <w:instrText>PAGE</w:instrText>
    </w:r>
    <w:r>
      <w:fldChar w:fldCharType="separate"/>
    </w:r>
    <w:r w:rsidR="001A38C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5AB1296" w14:textId="77777777" w:rsidR="00DC263A" w:rsidRDefault="00DC263A">
      <w:pPr>
        <w:spacing w:after="0" w:line="240" w:lineRule="auto"/>
      </w:pPr>
      <w:r>
        <w:separator/>
      </w:r>
    </w:p>
  </w:footnote>
  <w:footnote w:type="continuationSeparator" w:id="0">
    <w:p w14:paraId="13F9696F" w14:textId="77777777" w:rsidR="00DC263A" w:rsidRDefault="00DC26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AD88E4D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3621226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350F7"/>
    <w:rsid w:val="001A38C8"/>
    <w:rsid w:val="0044482F"/>
    <w:rsid w:val="00890D30"/>
    <w:rsid w:val="00B350F7"/>
    <w:rsid w:val="00DC263A"/>
    <w:rsid w:val="00FC3F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ED846C2"/>
  <w15:docId w15:val="{C5493181-2848-6244-B7D5-17D838467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480" w:lineRule="auto"/>
    </w:pPr>
    <w:rPr>
      <w:rFonts w:ascii="Times New Roman" w:eastAsia="Times New Roman" w:hAnsi="Times New Roman"/>
      <w:color w:val="000000"/>
    </w:rPr>
  </w:style>
  <w:style w:type="paragraph" w:styleId="Heading1">
    <w:name w:val="heading 1"/>
    <w:basedOn w:val="Normal"/>
    <w:next w:val="BodyText"/>
    <w:link w:val="Heading1Char"/>
    <w:uiPriority w:val="9"/>
    <w:qFormat/>
    <w:rsid w:val="00A10FD9"/>
    <w:pPr>
      <w:keepNext/>
      <w:keepLines/>
      <w:spacing w:before="240"/>
      <w:outlineLvl w:val="0"/>
    </w:pPr>
    <w:rPr>
      <w:rFonts w:asciiTheme="majorHAnsi" w:eastAsiaTheme="majorEastAsia" w:hAnsiTheme="majorHAnsi" w:cstheme="majorBidi"/>
      <w:b/>
      <w:szCs w:val="40"/>
    </w:rPr>
  </w:style>
  <w:style w:type="paragraph" w:styleId="Heading2">
    <w:name w:val="heading 2"/>
    <w:basedOn w:val="Normal"/>
    <w:next w:val="BodyText"/>
    <w:link w:val="Heading2Char"/>
    <w:uiPriority w:val="9"/>
    <w:semiHidden/>
    <w:unhideWhenUsed/>
    <w:qFormat/>
    <w:rsid w:val="00A10FD9"/>
    <w:pPr>
      <w:keepNext/>
      <w:keepLines/>
      <w:spacing w:before="120"/>
      <w:outlineLvl w:val="1"/>
    </w:pPr>
    <w:rPr>
      <w:rFonts w:asciiTheme="majorHAnsi" w:eastAsiaTheme="majorEastAsia" w:hAnsiTheme="majorHAnsi" w:cstheme="majorBidi"/>
      <w:b/>
      <w:szCs w:val="32"/>
    </w:rPr>
  </w:style>
  <w:style w:type="paragraph" w:styleId="Heading3">
    <w:name w:val="heading 3"/>
    <w:basedOn w:val="Normal"/>
    <w:next w:val="BodyText"/>
    <w:link w:val="Heading3Char"/>
    <w:uiPriority w:val="9"/>
    <w:semiHidden/>
    <w:unhideWhenUsed/>
    <w:qFormat/>
    <w:rsid w:val="00A10FD9"/>
    <w:pPr>
      <w:keepNext/>
      <w:keepLines/>
      <w:spacing w:before="120"/>
      <w:outlineLvl w:val="2"/>
    </w:pPr>
    <w:rPr>
      <w:rFonts w:eastAsiaTheme="majorEastAsia" w:cstheme="majorBidi"/>
      <w:b/>
      <w:szCs w:val="28"/>
    </w:rPr>
  </w:style>
  <w:style w:type="paragraph" w:styleId="Heading4">
    <w:name w:val="heading 4"/>
    <w:basedOn w:val="Normal"/>
    <w:next w:val="BodyText"/>
    <w:link w:val="Heading4Char"/>
    <w:uiPriority w:val="9"/>
    <w:semiHidden/>
    <w:unhideWhenUsed/>
    <w:qFormat/>
    <w:rsid w:val="00A10FD9"/>
    <w:pPr>
      <w:keepLines/>
      <w:outlineLvl w:val="3"/>
    </w:pPr>
    <w:rPr>
      <w:rFonts w:eastAsiaTheme="majorEastAsia" w:cstheme="majorBidi"/>
      <w:iCs/>
    </w:rPr>
  </w:style>
  <w:style w:type="paragraph" w:styleId="Heading5">
    <w:name w:val="heading 5"/>
    <w:basedOn w:val="Normal"/>
    <w:next w:val="BodyText"/>
    <w:link w:val="Heading5Char"/>
    <w:uiPriority w:val="9"/>
    <w:semiHidden/>
    <w:unhideWhenUsed/>
    <w:qFormat/>
    <w:rsid w:val="00A10FD9"/>
    <w:pPr>
      <w:keepLines/>
      <w:outlineLvl w:val="4"/>
    </w:pPr>
    <w:rPr>
      <w:rFonts w:eastAsiaTheme="majorEastAsia" w:cstheme="majorBidi"/>
    </w:rPr>
  </w:style>
  <w:style w:type="paragraph" w:styleId="Heading6">
    <w:name w:val="heading 6"/>
    <w:basedOn w:val="Normal"/>
    <w:next w:val="BodyText"/>
    <w:link w:val="Heading6Char"/>
    <w:uiPriority w:val="9"/>
    <w:semiHidden/>
    <w:unhideWhenUsed/>
    <w:qFormat/>
    <w:rsid w:val="00A10FD9"/>
    <w:pPr>
      <w:keepLines/>
      <w:outlineLvl w:val="5"/>
    </w:pPr>
    <w:rPr>
      <w:rFonts w:eastAsiaTheme="majorEastAsia" w:cstheme="majorBidi"/>
      <w:iCs/>
    </w:rPr>
  </w:style>
  <w:style w:type="paragraph" w:styleId="Heading7">
    <w:name w:val="heading 7"/>
    <w:basedOn w:val="Normal"/>
    <w:next w:val="BodyText"/>
    <w:link w:val="Heading7Char"/>
    <w:uiPriority w:val="9"/>
    <w:semiHidden/>
    <w:unhideWhenUsed/>
    <w:qFormat/>
    <w:rsid w:val="00A10FD9"/>
    <w:pPr>
      <w:keepLines/>
      <w:outlineLvl w:val="6"/>
    </w:pPr>
    <w:rPr>
      <w:rFonts w:eastAsiaTheme="majorEastAsia" w:cstheme="majorBidi"/>
    </w:rPr>
  </w:style>
  <w:style w:type="paragraph" w:styleId="Heading8">
    <w:name w:val="heading 8"/>
    <w:basedOn w:val="Normal"/>
    <w:next w:val="BodyText"/>
    <w:link w:val="Heading8Char"/>
    <w:uiPriority w:val="9"/>
    <w:semiHidden/>
    <w:unhideWhenUsed/>
    <w:qFormat/>
    <w:rsid w:val="00A10FD9"/>
    <w:pPr>
      <w:keepLines/>
      <w:outlineLvl w:val="7"/>
    </w:pPr>
    <w:rPr>
      <w:rFonts w:eastAsiaTheme="majorEastAsia" w:cstheme="majorBidi"/>
      <w:iCs/>
    </w:rPr>
  </w:style>
  <w:style w:type="paragraph" w:styleId="Heading9">
    <w:name w:val="heading 9"/>
    <w:basedOn w:val="Normal"/>
    <w:next w:val="BodyText"/>
    <w:link w:val="Heading9Char"/>
    <w:uiPriority w:val="9"/>
    <w:semiHidden/>
    <w:unhideWhenUsed/>
    <w:qFormat/>
    <w:rsid w:val="00A10FD9"/>
    <w:pPr>
      <w:keepLines/>
      <w:outlineLvl w:val="8"/>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link w:val="TitleChar"/>
    <w:uiPriority w:val="10"/>
    <w:qFormat/>
    <w:rsid w:val="00A10FD9"/>
    <w:pPr>
      <w:spacing w:after="280" w:line="336" w:lineRule="auto"/>
      <w:contextualSpacing/>
      <w:jc w:val="center"/>
    </w:pPr>
    <w:rPr>
      <w:rFonts w:asciiTheme="majorHAnsi" w:eastAsiaTheme="majorEastAsia" w:hAnsiTheme="majorHAnsi" w:cstheme="majorBidi"/>
      <w:b/>
      <w:sz w:val="28"/>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spacing w:after="120" w:line="480" w:lineRule="auto"/>
    </w:pPr>
    <w:rPr>
      <w:rFonts w:ascii="Times New Roman" w:hAnsi="Times New Roman"/>
      <w:b w:val="0"/>
      <w:spacing w:val="15"/>
      <w:sz w:val="24"/>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Lines/>
      <w:spacing w:after="120" w:line="480" w:lineRule="auto"/>
    </w:pPr>
    <w:rPr>
      <w:rFonts w:ascii="Times New Roman" w:eastAsia="Times New Roman" w:hAnsi="Times New Roman"/>
      <w:b w:val="0"/>
      <w:sz w:val="24"/>
      <w:szCs w:val="24"/>
    </w:rPr>
  </w:style>
  <w:style w:type="paragraph" w:styleId="Date">
    <w:name w:val="Date"/>
    <w:basedOn w:val="Title"/>
    <w:next w:val="BodyText"/>
    <w:qFormat/>
    <w:pPr>
      <w:keepLines/>
      <w:spacing w:after="120" w:line="480" w:lineRule="auto"/>
    </w:pPr>
    <w:rPr>
      <w:rFonts w:ascii="Times New Roman" w:eastAsia="Times New Roman" w:hAnsi="Times New Roman"/>
      <w:b w:val="0"/>
      <w:sz w:val="24"/>
      <w:szCs w:val="24"/>
    </w:rPr>
  </w:style>
  <w:style w:type="paragraph" w:customStyle="1" w:styleId="AbstractTitle">
    <w:name w:val="Abstract Title"/>
    <w:basedOn w:val="Normal"/>
    <w:next w:val="Abstract"/>
    <w:qFormat/>
    <w:pPr>
      <w:keepLines/>
      <w:jc w:val="center"/>
    </w:pPr>
    <w:rPr>
      <w:szCs w:val="20"/>
    </w:rPr>
  </w:style>
  <w:style w:type="paragraph" w:customStyle="1" w:styleId="Abstract">
    <w:name w:val="Abstract"/>
    <w:basedOn w:val="Normal"/>
    <w:next w:val="BodyText"/>
    <w:qFormat/>
    <w:pPr>
      <w:keepLines/>
    </w:pPr>
    <w:rPr>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Lines/>
    </w:pPr>
  </w:style>
  <w:style w:type="paragraph" w:customStyle="1" w:styleId="Definition">
    <w:name w:val="Definition"/>
    <w:basedOn w:val="Normal"/>
  </w:style>
  <w:style w:type="paragraph" w:styleId="Caption">
    <w:name w:val="caption"/>
    <w:basedOn w:val="Normal"/>
    <w:link w:val="CaptionChar"/>
  </w:style>
  <w:style w:type="paragraph" w:customStyle="1" w:styleId="TableCaption">
    <w:name w:val="Table Caption"/>
    <w:basedOn w:val="Caption"/>
    <w:pPr>
      <w:keepNext/>
      <w:spacing w:after="200" w:line="276" w:lineRule="auto"/>
    </w:pPr>
    <w:rPr>
      <w:i/>
      <w:sz w:val="20"/>
    </w:rPr>
  </w:style>
  <w:style w:type="paragraph" w:customStyle="1" w:styleId="ImageCaption">
    <w:name w:val="Image Caption"/>
    <w:basedOn w:val="Caption"/>
    <w:pPr>
      <w:keepLines/>
      <w:spacing w:after="200" w:line="276" w:lineRule="auto"/>
    </w:pPr>
    <w:rPr>
      <w:i/>
      <w:sz w:val="20"/>
    </w:rPr>
  </w:style>
  <w:style w:type="paragraph" w:customStyle="1" w:styleId="Figure">
    <w:name w:val="Figure"/>
    <w:basedOn w:val="Normal"/>
  </w:style>
  <w:style w:type="paragraph" w:customStyle="1" w:styleId="CaptionedFigure">
    <w:name w:val="Captioned Figure"/>
    <w:basedOn w:val="Figure"/>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rFonts w:ascii="Times New Roman" w:eastAsia="Times New Roman" w:hAnsi="Times New Roman"/>
      <w:b w:val="0"/>
      <w:i w:val="0"/>
      <w:color w:val="000000"/>
      <w:sz w:val="24"/>
      <w:u w:val="none"/>
    </w:rPr>
  </w:style>
  <w:style w:type="paragraph" w:styleId="TOCHeading">
    <w:name w:val="TOC Heading"/>
    <w:basedOn w:val="Heading1"/>
    <w:next w:val="BodyText"/>
    <w:uiPriority w:val="39"/>
    <w:unhideWhenUsed/>
    <w:qFormat/>
    <w:pPr>
      <w:keepNext w:val="0"/>
      <w:spacing w:before="0"/>
      <w:outlineLvl w:val="9"/>
    </w:pPr>
    <w:rPr>
      <w:b w:val="0"/>
    </w:rPr>
  </w:style>
  <w:style w:type="paragraph" w:customStyle="1" w:styleId="FigureImage">
    <w:name w:val="Figure Image"/>
    <w:basedOn w:val="BodyText"/>
    <w:qFormat/>
    <w:pPr>
      <w:keepNext/>
      <w:spacing w:line="240" w:lineRule="auto"/>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LineNumber">
    <w:name w:val="line number"/>
    <w:basedOn w:val="DefaultParagraphFont"/>
    <w:rsid w:val="001A38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hyperlink" Target="https://doi.org/10.1007/s10658-019-01791-2" TargetMode="External"/><Relationship Id="rId39" Type="http://schemas.openxmlformats.org/officeDocument/2006/relationships/hyperlink" Target="https://doi.org/10.1094/PD-89-0777C" TargetMode="External"/><Relationship Id="rId21" Type="http://schemas.openxmlformats.org/officeDocument/2006/relationships/image" Target="media/image12.png"/><Relationship Id="rId34" Type="http://schemas.openxmlformats.org/officeDocument/2006/relationships/hyperlink" Target="https://doi.org/10.3389/fpls.2017.01912" TargetMode="External"/><Relationship Id="rId42" Type="http://schemas.openxmlformats.org/officeDocument/2006/relationships/hyperlink" Target="https://doi.org/10.1146/annurev.py.30.090192.003005" TargetMode="External"/><Relationship Id="rId47" Type="http://schemas.openxmlformats.org/officeDocument/2006/relationships/hyperlink" Target="https://doi.org/10.1111/j.1439-0434.1998.tb04615.x" TargetMode="External"/><Relationship Id="rId50" Type="http://schemas.openxmlformats.org/officeDocument/2006/relationships/hyperlink" Target="https://doi.org/10.20870/oeno-one.2020.54.3.3195" TargetMode="External"/><Relationship Id="rId55" Type="http://schemas.openxmlformats.org/officeDocument/2006/relationships/fontTable" Target="fontTable.xml"/><Relationship Id="rId7" Type="http://schemas.openxmlformats.org/officeDocument/2006/relationships/hyperlink" Target="mailto:yuq@nwafu.edu.cn" TargetMode="Externa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doi.org/10.1038/nrmicro1596" TargetMode="External"/><Relationship Id="rId11" Type="http://schemas.openxmlformats.org/officeDocument/2006/relationships/image" Target="media/image3.png"/><Relationship Id="rId24" Type="http://schemas.openxmlformats.org/officeDocument/2006/relationships/hyperlink" Target="https://doi.org/10.3389/fmicb.2022.889472" TargetMode="External"/><Relationship Id="rId32" Type="http://schemas.openxmlformats.org/officeDocument/2006/relationships/hyperlink" Target="https://doi.org/10.3389/fpls.2020.01187" TargetMode="External"/><Relationship Id="rId37" Type="http://schemas.openxmlformats.org/officeDocument/2006/relationships/hyperlink" Target="https://doi.org/10.1007/s10658-010-9635-8" TargetMode="External"/><Relationship Id="rId40" Type="http://schemas.openxmlformats.org/officeDocument/2006/relationships/hyperlink" Target="https://doi.org/10.1111/j.1755-0238.1995.tb00085.x" TargetMode="External"/><Relationship Id="rId45" Type="http://schemas.openxmlformats.org/officeDocument/2006/relationships/hyperlink" Target="https://doi.org/10.1007/978-1-4899-7547-8_5" TargetMode="External"/><Relationship Id="rId53" Type="http://schemas.openxmlformats.org/officeDocument/2006/relationships/hyperlink" Target="https://doi.org/10.1128/aem.02152-25" TargetMode="External"/><Relationship Id="rId5" Type="http://schemas.openxmlformats.org/officeDocument/2006/relationships/footnotes" Target="footnotes.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hyperlink" Target="https://doi.org/10.1016/j.ecolmodel.2007.10.046" TargetMode="External"/><Relationship Id="rId44" Type="http://schemas.openxmlformats.org/officeDocument/2006/relationships/hyperlink" Target="https://doi.org/10.1016/j.compag.2022.107154" TargetMode="External"/><Relationship Id="rId52" Type="http://schemas.openxmlformats.org/officeDocument/2006/relationships/hyperlink" Target="https://doi.org/10.1016/j.pmpp.2025.102842"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open-meteo.com/" TargetMode="External"/><Relationship Id="rId22" Type="http://schemas.openxmlformats.org/officeDocument/2006/relationships/image" Target="media/image13.png"/><Relationship Id="rId27" Type="http://schemas.openxmlformats.org/officeDocument/2006/relationships/hyperlink" Target="https://www.jstor.org/stable/26458675" TargetMode="External"/><Relationship Id="rId30" Type="http://schemas.openxmlformats.org/officeDocument/2006/relationships/hyperlink" Target="https://doi.org/10.1111/j.1365-2338.2007.01120.x" TargetMode="External"/><Relationship Id="rId35" Type="http://schemas.openxmlformats.org/officeDocument/2006/relationships/hyperlink" Target="https://doi.org/10.3389/fpls.2021.809558" TargetMode="External"/><Relationship Id="rId43" Type="http://schemas.openxmlformats.org/officeDocument/2006/relationships/hyperlink" Target="https://doi.org/10.1016/S0378-4754(00)00270-6" TargetMode="External"/><Relationship Id="rId48" Type="http://schemas.openxmlformats.org/officeDocument/2006/relationships/hyperlink" Target="https://doi.org/10.7161/omuanajas.1394670" TargetMode="External"/><Relationship Id="rId56" Type="http://schemas.openxmlformats.org/officeDocument/2006/relationships/theme" Target="theme/theme1.xml"/><Relationship Id="rId8" Type="http://schemas.openxmlformats.org/officeDocument/2006/relationships/hyperlink" Target="mailto:qujunjie@gxaas.net" TargetMode="External"/><Relationship Id="rId51" Type="http://schemas.openxmlformats.org/officeDocument/2006/relationships/hyperlink" Target="https://doi.org/10.1111/ppa.70175"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yperlink" Target="https://doi.org/10.1111/mpp.13401" TargetMode="External"/><Relationship Id="rId33" Type="http://schemas.openxmlformats.org/officeDocument/2006/relationships/hyperlink" Target="https://doi.org/10.3389/fpls.2021.636607" TargetMode="External"/><Relationship Id="rId38" Type="http://schemas.openxmlformats.org/officeDocument/2006/relationships/hyperlink" Target="https://doi.org/10.1111/j.1364-3703.2007.00429.x" TargetMode="External"/><Relationship Id="rId46" Type="http://schemas.openxmlformats.org/officeDocument/2006/relationships/hyperlink" Target="https://doi.org/10.1094/PHYTO-95-1445" TargetMode="External"/><Relationship Id="rId20" Type="http://schemas.openxmlformats.org/officeDocument/2006/relationships/image" Target="media/image11.png"/><Relationship Id="rId41" Type="http://schemas.openxmlformats.org/officeDocument/2006/relationships/hyperlink" Target="https://doi.org/10.1002/qj.3803" TargetMode="External"/><Relationship Id="rId54"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doi.org/10.1094/PDIS-94-6-0709" TargetMode="External"/><Relationship Id="rId36" Type="http://schemas.openxmlformats.org/officeDocument/2006/relationships/hyperlink" Target="https://doi.org/10.1111/ppa.12993" TargetMode="External"/><Relationship Id="rId49" Type="http://schemas.openxmlformats.org/officeDocument/2006/relationships/hyperlink" Target="https://extension.umd.edu/resource/downy-mildew-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37</Pages>
  <Words>8631</Words>
  <Characters>49200</Characters>
  <Application>Microsoft Office Word</Application>
  <DocSecurity>0</DocSecurity>
  <Lines>410</Lines>
  <Paragraphs>115</Paragraphs>
  <ScaleCrop>false</ScaleCrop>
  <Company/>
  <LinksUpToDate>false</LinksUpToDate>
  <CharactersWithSpaces>57716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Process-based modelling of grapevine downy mildew symptom onset and potential fungicide savings in subtropical double-cropping vineyards</dc:title>
  <dc:subject>Research article for Pest Management Science</dc:subject>
  <dc:creator>Linjia Yao et al.</dc:creator>
  <cp:keywords/>
  <dc:description/>
  <cp:lastModifiedBy>linjia Yao</cp:lastModifiedBy>
  <cp:revision>3</cp:revision>
  <dcterms:created xsi:type="dcterms:W3CDTF">2026-10-09T08:18:00Z</dcterms:created>
  <dcterms:modified xsi:type="dcterms:W3CDTF">2026-10-09T08:44:00Z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