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19.png" ContentType="image/png"/>
  <ns0:Override PartName="/word/media/rId43.png" ContentType="image/png"/>
  <ns0:Override PartName="/word/media/rId13.png" ContentType="image/png"/>
  <ns0:Override PartName="/word/media/rId73.png" ContentType="image/png"/>
  <ns0:Override PartName="/word/media/rId79.png" ContentType="image/png"/>
  <ns0:Override PartName="/word/media/rId84.png" ContentType="image/png"/>
  <ns0:Override PartName="/word/media/rId89.png" ContentType="image/png"/>
  <ns0:Override PartName="/word/media/rId23.png" ContentType="image/png"/>
  <ns0:Override PartName="/word/media/rId28.png" ContentType="image/png"/>
  <ns0:Override PartName="/word/media/rId34.png" ContentType="image/png"/>
  <ns0:Override PartName="/word/media/rId56.png" ContentType="image/png"/>
  <ns0:Override PartName="/word/media/rId64.png" ContentType="image/png"/>
  <ns0:Override PartName="/word/media/rId69.png" ContentType="image/png"/>
  <ns0:Override PartName="/word/footer1.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math" xmlns:r="http://schemas.openxmlformats.org/officeDocument/2006/relationships" xmlns:w="http://schemas.openxmlformats.org/wordprocessingml/2006/main">
  <w:body>
    <w:p>
      <w:pPr>
        <w:pStyle w:val="Title"/>
      </w:pPr>
      <w:r>
        <w:t xml:space="preserve">Spore-informed agroclimatic modelling improves the timing of</w:t>
      </w:r>
      <w:r>
        <w:t xml:space="preserve"> </w:t>
      </w:r>
      <w:r>
        <w:t xml:space="preserve">grapevine downy mildew management in subtropical vineyards</w:t>
      </w:r>
    </w:p>
    <w:p>
      <w:pPr>
        <w:pStyle w:val="Authors"/>
        <w:jc w:val="left"/>
      </w:pPr>
      <w:r>
        <w:t xml:space="preserve">Linjia Yao</w:t>
      </w:r>
      <w:r>
        <w:t xml:space="preserve"> </w:t>
      </w:r>
      <w:r>
        <w:rPr>
          <w:vertAlign w:val="superscript"/>
        </w:rPr>
        <w:t xml:space="preserve">a #</w:t>
      </w:r>
      <w:r>
        <w:t xml:space="preserve">, Bin Chen</w:t>
      </w:r>
      <w:r>
        <w:t xml:space="preserve"> </w:t>
      </w:r>
      <w:r>
        <w:rPr>
          <w:vertAlign w:val="superscript"/>
        </w:rPr>
        <w:t xml:space="preserve">b #</w:t>
      </w:r>
      <w:r>
        <w:t xml:space="preserve">,</w:t>
      </w:r>
      <w:r>
        <w:t xml:space="preserve"> </w:t>
      </w:r>
      <w:r>
        <w:t xml:space="preserve">Vittorio Rossi</w:t>
      </w:r>
      <w:r>
        <w:t xml:space="preserve"> </w:t>
      </w:r>
      <w:r>
        <w:rPr>
          <w:vertAlign w:val="superscript"/>
        </w:rPr>
        <w:t xml:space="preserve">c</w:t>
      </w:r>
      <w:r>
        <w:t xml:space="preserve">, Ling Yin</w:t>
      </w:r>
      <w:r>
        <w:t xml:space="preserve"> </w:t>
      </w:r>
      <w:r>
        <w:rPr>
          <w:vertAlign w:val="superscript"/>
        </w:rPr>
        <w:t xml:space="preserve">d</w:t>
      </w:r>
      <w:r>
        <w:t xml:space="preserve">, Shumei</w:t>
      </w:r>
      <w:r>
        <w:t xml:space="preserve"> </w:t>
      </w:r>
      <w:r>
        <w:t xml:space="preserve">Wei</w:t>
      </w:r>
      <w:r>
        <w:t xml:space="preserve"> </w:t>
      </w:r>
      <w:r>
        <w:rPr>
          <w:vertAlign w:val="superscript"/>
        </w:rPr>
        <w:t xml:space="preserve">d</w:t>
      </w:r>
      <w:r>
        <w:t xml:space="preserve">, Qi Tian</w:t>
      </w:r>
      <w:r>
        <w:t xml:space="preserve"> </w:t>
      </w:r>
      <w:r>
        <w:rPr>
          <w:vertAlign w:val="superscript"/>
        </w:rPr>
        <w:t xml:space="preserve">a</w:t>
      </w:r>
      <w:r>
        <w:t xml:space="preserve">, Changqing Yan</w:t>
      </w:r>
      <w:r>
        <w:t xml:space="preserve"> </w:t>
      </w:r>
      <w:r>
        <w:rPr>
          <w:vertAlign w:val="superscript"/>
        </w:rPr>
        <w:t xml:space="preserve">e</w:t>
      </w:r>
      <w:r>
        <w:t xml:space="preserve">, Hui wang</w:t>
      </w:r>
      <w:r>
        <w:t xml:space="preserve"> </w:t>
      </w:r>
      <w:r>
        <w:rPr>
          <w:vertAlign w:val="superscript"/>
        </w:rPr>
        <w:t xml:space="preserve">f</w:t>
      </w:r>
      <w:r>
        <w:t xml:space="preserve">, Antonio Fernandes</w:t>
      </w:r>
      <w:r>
        <w:t xml:space="preserve"> </w:t>
      </w:r>
      <w:r>
        <w:t xml:space="preserve">Nogueira Júnior</w:t>
      </w:r>
      <w:r>
        <w:t xml:space="preserve"> </w:t>
      </w:r>
      <w:r>
        <w:rPr>
          <w:vertAlign w:val="superscript"/>
        </w:rPr>
        <w:t xml:space="preserve">g</w:t>
      </w:r>
      <w:r>
        <w:t xml:space="preserve">, Yu Huang</w:t>
      </w:r>
      <w:r>
        <w:t xml:space="preserve"> </w:t>
      </w:r>
      <w:r>
        <w:rPr>
          <w:vertAlign w:val="superscript"/>
        </w:rPr>
        <w:t xml:space="preserve">h</w:t>
      </w:r>
      <w:r>
        <w:t xml:space="preserve">, Qiang</w:t>
      </w:r>
      <w:r>
        <w:t xml:space="preserve"> </w:t>
      </w:r>
      <w:r>
        <w:t xml:space="preserve">Yu</w:t>
      </w:r>
      <w:r>
        <w:t xml:space="preserve"> </w:t>
      </w:r>
      <w:r>
        <w:rPr>
          <w:vertAlign w:val="superscript"/>
        </w:rPr>
        <w:t xml:space="preserve">b *</w:t>
      </w:r>
      <w:r>
        <w:t xml:space="preserve">, Junjie Qu</w:t>
      </w:r>
      <w:r>
        <w:t xml:space="preserve"> </w:t>
      </w:r>
      <w:r>
        <w:rPr>
          <w:vertAlign w:val="superscript"/>
        </w:rPr>
        <w:t xml:space="preserve">d *</w:t>
      </w:r>
      <w:r>
        <w:t xml:space="preserve">, Gang Zhao</w:t>
      </w:r>
      <w:r>
        <w:t xml:space="preserve"> </w:t>
      </w:r>
      <w:r>
        <w:rPr>
          <w:vertAlign w:val="superscript"/>
        </w:rPr>
        <w:t xml:space="preserve">b *</w:t>
      </w:r>
    </w:p>
    <w:p>
      <w:pPr>
        <w:pStyle w:val="Affiliations"/>
        <w:jc w:val="left"/>
      </w:pPr>
      <w:r>
        <w:rPr>
          <w:vertAlign w:val="superscript"/>
        </w:rPr>
        <w:t xml:space="preserve">a</w:t>
      </w:r>
      <w:r>
        <w:t xml:space="preserve"> </w:t>
      </w:r>
      <w:r>
        <w:t xml:space="preserve">College of Natural Resources and Environment,</w:t>
      </w:r>
      <w:r>
        <w:t xml:space="preserve"> </w:t>
      </w:r>
      <w:r>
        <w:t xml:space="preserve">Northwest A &amp; F University, Yangling 712100, China</w:t>
      </w:r>
    </w:p>
    <w:p>
      <w:pPr>
        <w:pStyle w:val="Affiliations"/>
        <w:jc w:val="left"/>
      </w:pPr>
      <w:r>
        <w:rPr>
          <w:vertAlign w:val="superscript"/>
        </w:rPr>
        <w:t xml:space="preserve">b</w:t>
      </w:r>
      <w:r>
        <w:t xml:space="preserve"> </w:t>
      </w:r>
      <w:r>
        <w:t xml:space="preserve">State Key Laboratory of Soil and Water Conservation</w:t>
      </w:r>
      <w:r>
        <w:t xml:space="preserve"> </w:t>
      </w:r>
      <w:r>
        <w:t xml:space="preserve">and Desertification Control, College of Soil and Water Conservation</w:t>
      </w:r>
      <w:r>
        <w:t xml:space="preserve"> </w:t>
      </w:r>
      <w:r>
        <w:t xml:space="preserve">Science and Engineering, Northwest A&amp;F University, Yangling, Shaanxi</w:t>
      </w:r>
      <w:r>
        <w:t xml:space="preserve"> </w:t>
      </w:r>
      <w:r>
        <w:t xml:space="preserve">712100, China</w:t>
      </w:r>
    </w:p>
    <w:p>
      <w:pPr>
        <w:pStyle w:val="Affiliations"/>
        <w:jc w:val="left"/>
      </w:pPr>
      <w:r>
        <w:rPr>
          <w:vertAlign w:val="superscript"/>
        </w:rPr>
        <w:t xml:space="preserve">c</w:t>
      </w:r>
      <w:r>
        <w:t xml:space="preserve"> </w:t>
      </w:r>
      <w:r>
        <w:t xml:space="preserve">Research centre on Plant Health Modelling (PHEM),</w:t>
      </w:r>
      <w:r>
        <w:t xml:space="preserve"> </w:t>
      </w:r>
      <w:r>
        <w:t xml:space="preserve">Università Cattolica del Sacro Cuore, Piacenza, Italy</w:t>
      </w:r>
    </w:p>
    <w:p>
      <w:pPr>
        <w:pStyle w:val="Affiliations"/>
        <w:jc w:val="left"/>
      </w:pPr>
      <w:r>
        <w:rPr>
          <w:vertAlign w:val="superscript"/>
        </w:rPr>
        <w:t xml:space="preserve">d</w:t>
      </w:r>
      <w:r>
        <w:t xml:space="preserve"> </w:t>
      </w:r>
      <w:r>
        <w:t xml:space="preserve">Guangxi Crop Genetic Improvement and Biotechnology</w:t>
      </w:r>
      <w:r>
        <w:t xml:space="preserve"> </w:t>
      </w:r>
      <w:r>
        <w:t xml:space="preserve">Key Lab, Guangxi Academy of Agricultural Sciences, Nanning 530007, China</w:t>
      </w:r>
    </w:p>
    <w:p>
      <w:pPr>
        <w:pStyle w:val="Affiliations"/>
        <w:jc w:val="left"/>
      </w:pPr>
      <w:r>
        <w:rPr>
          <w:vertAlign w:val="superscript"/>
        </w:rPr>
        <w:t xml:space="preserve">e</w:t>
      </w:r>
      <w:r>
        <w:t xml:space="preserve"> </w:t>
      </w:r>
      <w:r>
        <w:t xml:space="preserve">College of Intelligent Equipment, Shandong</w:t>
      </w:r>
      <w:r>
        <w:t xml:space="preserve"> </w:t>
      </w:r>
      <w:r>
        <w:t xml:space="preserve">University of Science and Technology, Taian 271019, China</w:t>
      </w:r>
    </w:p>
    <w:p>
      <w:pPr>
        <w:pStyle w:val="Affiliations"/>
        <w:jc w:val="left"/>
      </w:pPr>
      <w:r>
        <w:rPr>
          <w:vertAlign w:val="superscript"/>
        </w:rPr>
        <w:t xml:space="preserve">f</w:t>
      </w:r>
      <w:r>
        <w:t xml:space="preserve"> </w:t>
      </w:r>
      <w:r>
        <w:t xml:space="preserve">Institute of Plant Protection Beijing Academy of</w:t>
      </w:r>
      <w:r>
        <w:t xml:space="preserve"> </w:t>
      </w:r>
      <w:r>
        <w:t xml:space="preserve">Agriculture and Forestry Sciences, 100097 Beijing, China</w:t>
      </w:r>
    </w:p>
    <w:p>
      <w:pPr>
        <w:pStyle w:val="Affiliations"/>
        <w:jc w:val="left"/>
      </w:pPr>
      <w:r>
        <w:rPr>
          <w:vertAlign w:val="superscript"/>
        </w:rPr>
        <w:t xml:space="preserve">g</w:t>
      </w:r>
      <w:r>
        <w:t xml:space="preserve"> </w:t>
      </w:r>
      <w:r>
        <w:t xml:space="preserve">KWS SAAT SE &amp; Co. KGaA, Einbeck, Germany</w:t>
      </w:r>
    </w:p>
    <w:p>
      <w:pPr>
        <w:pStyle w:val="Affiliations"/>
        <w:jc w:val="left"/>
      </w:pPr>
      <w:r>
        <w:rPr>
          <w:vertAlign w:val="superscript"/>
        </w:rPr>
        <w:t xml:space="preserve">h</w:t>
      </w:r>
      <w:r>
        <w:t xml:space="preserve"> </w:t>
      </w:r>
      <w:r>
        <w:t xml:space="preserve">Grape and Wine Research Institute, Guangxi Academy</w:t>
      </w:r>
      <w:r>
        <w:t xml:space="preserve"> </w:t>
      </w:r>
      <w:r>
        <w:t xml:space="preserve">of Agricultural Sciences, Nanning, Guangxi 530007, China</w:t>
      </w:r>
    </w:p>
    <w:p>
      <w:pPr>
        <w:pStyle w:val="CorrespondingAuthor"/>
        <w:jc w:val="left"/>
      </w:pPr>
      <w:r>
        <w:rPr>
          <w:b/>
          <w:bCs/>
        </w:rPr>
        <w:t xml:space="preserve">* Corresponding author:</w:t>
      </w:r>
      <w:r>
        <w:t xml:space="preserve"> </w:t>
      </w:r>
      <w:r>
        <w:t xml:space="preserve">Prof. Qiang Yu, E-mail:</w:t>
      </w:r>
      <w:r>
        <w:t xml:space="preserve"> </w:t>
      </w:r>
      <w:hyperlink r:id="rId9">
        <w:r>
          <w:rPr>
            <w:rStyle w:val="VerbatimChar"/>
          </w:rPr>
          <w:t xml:space="preserve">yuq@nwafu.edu.cn</w:t>
        </w:r>
      </w:hyperlink>
      <w:r>
        <w:t xml:space="preserve">; Prof.</w:t>
      </w:r>
      <w:r>
        <w:t xml:space="preserve"> </w:t>
      </w:r>
      <w:r>
        <w:t xml:space="preserve">Junjie Qu, E-mail:</w:t>
      </w:r>
      <w:r>
        <w:t xml:space="preserve"> </w:t>
      </w:r>
      <w:hyperlink r:id="rId10">
        <w:r>
          <w:rPr>
            <w:rStyle w:val="VerbatimChar"/>
          </w:rPr>
          <w:t xml:space="preserve">qujunjie@gxaas.net</w:t>
        </w:r>
      </w:hyperlink>
      <w:r>
        <w:t xml:space="preserve">; Prof.</w:t>
      </w:r>
      <w:r>
        <w:t xml:space="preserve"> </w:t>
      </w:r>
      <w:r>
        <w:t xml:space="preserve">Gang Zhao, E-mail: gang.zhao@nwafu.edu.cn</w:t>
      </w:r>
    </w:p>
    <w:p>
      <w:pPr>
        <w:pStyle w:val="Affiliations"/>
        <w:jc w:val="left"/>
      </w:pPr>
      <w:r>
        <w:rPr>
          <w:b/>
          <w:bCs/>
          <w:vertAlign w:val="superscript"/>
        </w:rPr>
        <w:t xml:space="preserve">#</w:t>
      </w:r>
      <w:r>
        <w:rPr>
          <w:b/>
          <w:bCs/>
        </w:rPr>
        <w:t xml:space="preserve"> </w:t>
      </w:r>
      <w:r>
        <w:rPr>
          <w:b/>
          <w:bCs/>
        </w:rPr>
        <w:t xml:space="preserve">These authors contributed equally to this</w:t>
      </w:r>
      <w:r>
        <w:rPr>
          <w:b/>
          <w:bCs/>
        </w:rPr>
        <w:t xml:space="preserve"> </w:t>
      </w:r>
      <w:r>
        <w:rPr>
          <w:b/>
          <w:bCs/>
        </w:rPr>
        <w:t xml:space="preserve">work.</w:t>
      </w:r>
    </w:p>
    <w:bookmarkStart w:id="11" w:name="abstract"/>
    <w:p>
      <w:pPr>
        <w:pStyle w:val="UnnumberedHeading"/>
        <w:jc w:val="left"/>
        <w:ind w:left="0" w:hanging="0"/>
      </w:pPr>
      <w:r>
        <w:t xml:space="preserve">Abstract</w:t>
      </w:r>
    </w:p>
    <w:p>
      <w:pPr>
        <w:pStyle w:val="Abstract"/>
        <w:spacing w:line="480" w:lineRule="auto"/>
      </w:pPr>
      <w:r>
        <w:t xml:space="preserve">Calendar-based fungicide programmes remain common in humid subtropical</w:t>
      </w:r>
      <w:r>
        <w:t xml:space="preserve"> </w:t>
      </w:r>
      <w:r>
        <w:t xml:space="preserve">vineyards, where warm and wet conditions favour grapevine downy mildew</w:t>
      </w:r>
      <w:r>
        <w:t xml:space="preserve"> </w:t>
      </w:r>
      <w:r>
        <w:t xml:space="preserve">(</w:t>
      </w:r>
      <w:r>
        <w:rPr>
          <w:i/>
          <w:iCs/>
        </w:rPr>
        <w:t xml:space="preserve">Plasmopara viticola</w:t>
      </w:r>
      <w:r>
        <w:t xml:space="preserve">) and make the timing of early-season</w:t>
      </w:r>
      <w:r>
        <w:t xml:space="preserve"> </w:t>
      </w:r>
      <w:r>
        <w:t xml:space="preserve">protection difficult. Existing mechanistic warning models were largely</w:t>
      </w:r>
      <w:r>
        <w:t xml:space="preserve"> </w:t>
      </w:r>
      <w:r>
        <w:t xml:space="preserve">developed for oospore-driven primary infections in temperate systems,</w:t>
      </w:r>
      <w:r>
        <w:t xml:space="preserve"> </w:t>
      </w:r>
      <w:r>
        <w:t xml:space="preserve">whereas first seasonal infections in subtropical vineyards may be driven</w:t>
      </w:r>
      <w:r>
        <w:t xml:space="preserve"> </w:t>
      </w:r>
      <w:r>
        <w:t xml:space="preserve">by continuously available asexual sporangia. To support field-based</w:t>
      </w:r>
      <w:r>
        <w:t xml:space="preserve"> </w:t>
      </w:r>
      <w:r>
        <w:t xml:space="preserve">disease management, we developed a spore-informed agroclimatic modelling</w:t>
      </w:r>
      <w:r>
        <w:t xml:space="preserve"> </w:t>
      </w:r>
      <w:r>
        <w:t xml:space="preserve">framework for predicting first seasonal infection under subtropical</w:t>
      </w:r>
      <w:r>
        <w:t xml:space="preserve"> </w:t>
      </w:r>
      <w:r>
        <w:t xml:space="preserve">conditions. The framework integrates primary and secondary infection</w:t>
      </w:r>
      <w:r>
        <w:t xml:space="preserve"> </w:t>
      </w:r>
      <w:r>
        <w:t xml:space="preserve">processes into a First Seasonal Infection Model (FSIM) and extends it by</w:t>
      </w:r>
      <w:r>
        <w:t xml:space="preserve"> </w:t>
      </w:r>
      <w:r>
        <w:t xml:space="preserve">incorporating field-observed sporangia through a dynamic spore-pressure</w:t>
      </w:r>
      <w:r>
        <w:t xml:space="preserve"> </w:t>
      </w:r>
      <w:r>
        <w:t xml:space="preserve">field that regulates infection triggering (FSIM-S). Model calibration</w:t>
      </w:r>
      <w:r>
        <w:t xml:space="preserve"> </w:t>
      </w:r>
      <w:r>
        <w:t xml:space="preserve">and validation using three-year, multi-site observations from two</w:t>
      </w:r>
      <w:r>
        <w:t xml:space="preserve"> </w:t>
      </w:r>
      <w:r>
        <w:t xml:space="preserve">commercial vineyards and one experimental orchard in Guangxi, China</w:t>
      </w:r>
      <w:r>
        <w:t xml:space="preserve"> </w:t>
      </w:r>
      <w:r>
        <w:t xml:space="preserve">(2022–2024) showed that FSIM predicted</w:t>
      </w:r>
      <w:r>
        <w:t xml:space="preserve"> </w:t>
      </w:r>
      <w:r>
        <w:t xml:space="preserve">infection timing with a mean absolute error (MAE) of 9.3 days and a root</w:t>
      </w:r>
      <w:r>
        <w:t xml:space="preserve"> </w:t>
      </w:r>
      <w:r>
        <w:t xml:space="preserve">mean square error (RMSE) of 10.6 days. Incorporating spore pressure</w:t>
      </w:r>
      <w:r>
        <w:t xml:space="preserve"> </w:t>
      </w:r>
      <w:r>
        <w:t xml:space="preserve">reduced MAE and RMSE to 6.3 and 6.5 days, respectively. Regional</w:t>
      </w:r>
      <w:r>
        <w:t xml:space="preserve"> </w:t>
      </w:r>
      <w:r>
        <w:t xml:space="preserve">simulations for 2000–2024 identified a stable high-risk window around</w:t>
      </w:r>
      <w:r>
        <w:t xml:space="preserve"> </w:t>
      </w:r>
      <w:r>
        <w:t xml:space="preserve">DOY 180–210 and indicated that model-guided timing could avoid 2–5</w:t>
      </w:r>
      <w:r>
        <w:t xml:space="preserve"> </w:t>
      </w:r>
      <w:r>
        <w:t xml:space="preserve">early preventive fungicide applications per season relative to a</w:t>
      </w:r>
      <w:r>
        <w:t xml:space="preserve"> </w:t>
      </w:r>
      <w:r>
        <w:t xml:space="preserve">calendar-based programme. FSIM-S links airborne inoculum monitoring with</w:t>
      </w:r>
      <w:r>
        <w:t xml:space="preserve"> </w:t>
      </w:r>
      <w:r>
        <w:t xml:space="preserve">agroclimatic process modelling and provides a field-tested basis for</w:t>
      </w:r>
      <w:r>
        <w:t xml:space="preserve"> </w:t>
      </w:r>
      <w:r>
        <w:t xml:space="preserve">climate-smart, model-guided management of grapevine downy mildew in</w:t>
      </w:r>
      <w:r>
        <w:t xml:space="preserve"> </w:t>
      </w:r>
      <w:r>
        <w:t xml:space="preserve">subtropical viticulture.</w:t>
      </w:r>
    </w:p>
    <w:p>
      <w:pPr>
        <w:pStyle w:val="Keywords"/>
        <w:spacing w:line="480" w:lineRule="auto"/>
      </w:pPr>
      <w:r>
        <w:rPr>
          <w:rFonts w:ascii="Times New Roman" w:hAnsi="Times New Roman" w:eastAsia="Times New Roman" w:cs="Times New Roman"/>
          <w:sz w:val="24"/>
          <w:szCs w:val="24"/>
          <w:b/>
          <w:bCs/>
        </w:rPr>
        <w:t xml:space="preserve">Keywords:</w:t>
      </w:r>
      <w:r>
        <w:rPr>
          <w:rFonts w:ascii="Times New Roman" w:hAnsi="Times New Roman" w:eastAsia="Times New Roman" w:cs="Times New Roman"/>
          <w:sz w:val="24"/>
          <w:szCs w:val="24"/>
        </w:rPr>
        <w:t xml:space="preserve"> Agroclimatic modelling; Spore-pressure dynamics; Fungicide timing; Subtropical viticulture; Smart agriculture</w:t>
      </w:r>
    </w:p>
    <w:bookmarkEnd w:id="11"/>
    <w:bookmarkStart w:id="12" w:name="introduction"/>
    <w:p>
      <w:pPr>
        <w:pStyle w:val="Heading1"/>
      </w:pPr>
      <w:r>
        <w:t xml:space="preserve">Introduction</w:t>
      </w:r>
    </w:p>
    <w:p>
      <w:pPr>
        <w:pStyle w:val="FirstParagraph"/>
        <w:spacing w:line="480" w:lineRule="auto"/>
      </w:pPr>
      <w:r>
        <w:t>Since 2000, China’s grape industry has expanded rapidly, and humid</w:t>
      </w:r>
      <w:r>
        <w:t xml:space="preserve"> </w:t>
      </w:r>
      <w:r>
        <w:t>subtropical regions have become increasingly important production zones</w:t>
      </w:r>
      <w:r>
        <w:t xml:space="preserve"> </w:t>
      </w:r>
      <w:r>
        <w:t>(</w:t>
      </w:r>
      <w:hyperlink w:anchor="ref_nationalbureauofstatisticsofchin_2024_34" w:history="1">
        <w:r>
          <w:rPr>
            <w:rStyle w:val="Hyperlink"/>
          </w:rPr>
          <w:t>National Bureau of Statistics of China, 2024</w:t>
        </w:r>
      </w:hyperlink>
      <w:r>
        <w:t>; Figure S1). These</w:t>
      </w:r>
      <w:r>
        <w:t xml:space="preserve"> </w:t>
      </w:r>
      <w:r>
        <w:t>production systems are exposed to persistent crop-protection pressure</w:t>
      </w:r>
      <w:r>
        <w:t xml:space="preserve"> </w:t>
      </w:r>
      <w:r>
        <w:t>because warm, humid and rainfall-prone conditions frequently coincide</w:t>
      </w:r>
      <w:r>
        <w:t xml:space="preserve"> </w:t>
      </w:r>
      <w:r>
        <w:t>with early grapevine development, when young leaves and inflorescences</w:t>
      </w:r>
      <w:r>
        <w:t xml:space="preserve"> </w:t>
      </w:r>
      <w:r>
        <w:t>are highly susceptible to grapevine downy mildew (GDM), caused by</w:t>
      </w:r>
      <w:r>
        <w:t xml:space="preserve"> </w:t>
      </w:r>
      <w:r>
        <w:rPr>
          <w:i/>
          <w:iCs/>
        </w:rPr>
        <w:t>Plasmopara viticola</w:t>
      </w:r>
      <w:r>
        <w:t>. Severe epidemics impair canopy</w:t>
      </w:r>
      <w:r>
        <w:t xml:space="preserve"> </w:t>
      </w:r>
      <w:r>
        <w:t>photosynthetic capacity and induce flower and fruit rotting and</w:t>
      </w:r>
      <w:r>
        <w:t xml:space="preserve"> </w:t>
      </w:r>
      <w:r>
        <w:t>abscission, with yield losses exceeding 75% in epidemic years (</w:t>
      </w:r>
      <w:hyperlink w:anchor="ref_nogueirajunior_2019_35" w:history="1">
        <w:r>
          <w:rPr>
            <w:rStyle w:val="Hyperlink"/>
          </w:rPr>
          <w:t>Nogueira Júnior et al., 2019</w:t>
        </w:r>
      </w:hyperlink>
      <w:r>
        <w:t xml:space="preserve">; </w:t>
      </w:r>
      <w:hyperlink w:anchor="ref_mouafotchinda_2022_33" w:history="1">
        <w:r>
          <w:rPr>
            <w:rStyle w:val="Hyperlink"/>
          </w:rPr>
          <w:t>Mouafo-Tchinda et al., 2022</w:t>
        </w:r>
      </w:hyperlink>
      <w:r>
        <w:t xml:space="preserve">; </w:t>
      </w:r>
      <w:hyperlink w:anchor="ref_koledenkova_2022_29" w:history="1">
        <w:r>
          <w:rPr>
            <w:rStyle w:val="Hyperlink"/>
          </w:rPr>
          <w:t>Koledenkova et al., 2022</w:t>
        </w:r>
      </w:hyperlink>
      <w:r>
        <w:t xml:space="preserve">; </w:t>
      </w:r>
      <w:hyperlink w:anchor="ref_peng_2024_38" w:history="1">
        <w:r>
          <w:rPr>
            <w:rStyle w:val="Hyperlink"/>
          </w:rPr>
          <w:t>Peng et al., 2024</w:t>
        </w:r>
      </w:hyperlink>
      <w:r>
        <w:t>). Consequently, disease management in many</w:t>
      </w:r>
      <w:r>
        <w:t xml:space="preserve"> </w:t>
      </w:r>
      <w:r>
        <w:t>vineyards still relies heavily on experience-based and calendar-driven</w:t>
      </w:r>
      <w:r>
        <w:t xml:space="preserve"> </w:t>
      </w:r>
      <w:r>
        <w:t>preventive spraying, often involving 8–12 fungicide applications per</w:t>
      </w:r>
      <w:r>
        <w:t xml:space="preserve"> </w:t>
      </w:r>
      <w:r>
        <w:t>growing season (</w:t>
      </w:r>
      <w:hyperlink w:anchor="ref_garciaesparza_2006_14" w:history="1">
        <w:r>
          <w:rPr>
            <w:rStyle w:val="Hyperlink"/>
          </w:rPr>
          <w:t>García-Esparza et al., 2006</w:t>
        </w:r>
      </w:hyperlink>
      <w:r>
        <w:t>). Although such programmes</w:t>
      </w:r>
      <w:r>
        <w:t xml:space="preserve"> </w:t>
      </w:r>
      <w:r>
        <w:t>can protect yield, their limited responsiveness to local infection risk</w:t>
      </w:r>
      <w:r>
        <w:t xml:space="preserve"> </w:t>
      </w:r>
      <w:r>
        <w:t>may increase production costs, pesticide selection pressure and</w:t>
      </w:r>
      <w:r>
        <w:t xml:space="preserve"> </w:t>
      </w:r>
      <w:r>
        <w:t>environmental burdens (</w:t>
      </w:r>
      <w:hyperlink w:anchor="ref_yin_2023_57" w:history="1">
        <w:r>
          <w:rPr>
            <w:rStyle w:val="Hyperlink"/>
          </w:rPr>
          <w:t>Yin et al., 2023</w:t>
        </w:r>
      </w:hyperlink>
      <w:r>
        <w:t>).</w:t>
      </w:r>
    </w:p>
    <w:p>
      <w:pPr>
        <w:pStyle w:val="Normal"/>
        <w:spacing w:line="480" w:lineRule="auto"/>
      </w:pPr>
      <w:r>
        <w:t>More accurate identification of the first seasonal infection window is</w:t>
      </w:r>
      <w:r>
        <w:t xml:space="preserve"> </w:t>
      </w:r>
      <w:r>
        <w:t>therefore central to risk-based disease management in subtropical</w:t>
      </w:r>
      <w:r>
        <w:t xml:space="preserve"> </w:t>
      </w:r>
      <w:r>
        <w:t>viticulture. Previous studies have shown that adapting grape downy</w:t>
      </w:r>
      <w:r>
        <w:t xml:space="preserve"> </w:t>
      </w:r>
      <w:r>
        <w:t>mildew control to local onset risk can reduce unnecessary fungicide</w:t>
      </w:r>
      <w:r>
        <w:t xml:space="preserve"> </w:t>
      </w:r>
      <w:r>
        <w:t>treatments (</w:t>
      </w:r>
      <w:hyperlink w:anchor="ref_chen_2019_11" w:history="1">
        <w:r>
          <w:rPr>
            <w:rStyle w:val="Hyperlink"/>
          </w:rPr>
          <w:t>Chen et al., 2019</w:t>
        </w:r>
      </w:hyperlink>
      <w:r>
        <w:t xml:space="preserve">, </w:t>
      </w:r>
      <w:hyperlink w:anchor="ref_chen_2020_12" w:history="1">
        <w:r>
          <w:rPr>
            <w:rStyle w:val="Hyperlink"/>
          </w:rPr>
          <w:t>2020</w:t>
        </w:r>
      </w:hyperlink>
      <w:r>
        <w:t>), but reliable early-season timing</w:t>
      </w:r>
      <w:r>
        <w:t xml:space="preserve"> </w:t>
      </w:r>
      <w:r>
        <w:t>remains difficult where favourable weather, host susceptibility and</w:t>
      </w:r>
      <w:r>
        <w:t xml:space="preserve"> </w:t>
      </w:r>
      <w:r>
        <w:t>viable inoculum do not necessarily coincide. Early forecasting</w:t>
      </w:r>
      <w:r>
        <w:t xml:space="preserve"> </w:t>
      </w:r>
      <w:r>
        <w:t>approaches were largely empirical and relied on weather thresholds, such</w:t>
      </w:r>
      <w:r>
        <w:t xml:space="preserve"> </w:t>
      </w:r>
      <w:r>
        <w:t>as the</w:t>
      </w:r>
      <w:r>
        <w:t xml:space="preserve"> </w:t>
      </w:r>
      <w:r>
        <w:t>“3–10 rule”</w:t>
      </w:r>
      <w:r>
        <w:t xml:space="preserve"> </w:t>
      </w:r>
      <w:r>
        <w:t>(</w:t>
      </w:r>
      <w:hyperlink w:anchor="ref_baldacci_1947_1" w:history="1">
        <w:r>
          <w:rPr>
            <w:rStyle w:val="Hyperlink"/>
          </w:rPr>
          <w:t>Baldacci, 1947</w:t>
        </w:r>
      </w:hyperlink>
      <w:r>
        <w:t>) and the EPI (État Potentiel</w:t>
      </w:r>
      <w:r>
        <w:t xml:space="preserve"> </w:t>
      </w:r>
      <w:r>
        <w:t>d’Infection) model (</w:t>
      </w:r>
      <w:hyperlink w:anchor="ref_strizyk_1983_49" w:history="1">
        <w:r>
          <w:rPr>
            <w:rStyle w:val="Hyperlink"/>
          </w:rPr>
          <w:t>Strizyk, 1983</w:t>
        </w:r>
      </w:hyperlink>
      <w:r>
        <w:t>), which use combinations of</w:t>
      </w:r>
      <w:r>
        <w:t xml:space="preserve"> </w:t>
      </w:r>
      <w:r>
        <w:t>meteorological conditions to indicate infection risk (</w:t>
      </w:r>
      <w:hyperlink w:anchor="ref_caffi_2007_7" w:history="1">
        <w:r>
          <w:rPr>
            <w:rStyle w:val="Hyperlink"/>
          </w:rPr>
          <w:t>Caffi et al., 2007</w:t>
        </w:r>
      </w:hyperlink>
      <w:r>
        <w:t>). These approaches are operationally simple,</w:t>
      </w:r>
      <w:r>
        <w:t xml:space="preserve"> </w:t>
      </w:r>
      <w:r>
        <w:t>but their limited representation of spore production, dispersal and</w:t>
      </w:r>
      <w:r>
        <w:t xml:space="preserve"> </w:t>
      </w:r>
      <w:r>
        <w:t>infection processes reduces their transferability across contrasting</w:t>
      </w:r>
      <w:r>
        <w:t xml:space="preserve"> </w:t>
      </w:r>
      <w:r>
        <w:t>climatic regions. Semi-mechanistic models subsequently improved the</w:t>
      </w:r>
      <w:r>
        <w:t xml:space="preserve"> </w:t>
      </w:r>
      <w:r>
        <w:t>biological representation of spore development and dispersal (</w:t>
      </w:r>
      <w:hyperlink w:anchor="ref_hill_1990_20" w:history="1">
        <w:r>
          <w:rPr>
            <w:rStyle w:val="Hyperlink"/>
          </w:rPr>
          <w:t>Hill, 1990</w:t>
        </w:r>
      </w:hyperlink>
      <w:r>
        <w:t xml:space="preserve">; </w:t>
      </w:r>
      <w:hyperlink w:anchor="ref_puelles_2024_40" w:history="1">
        <w:r>
          <w:rPr>
            <w:rStyle w:val="Hyperlink"/>
          </w:rPr>
          <w:t>Puelles et al., 2024</w:t>
        </w:r>
      </w:hyperlink>
      <w:r>
        <w:t>), yet many remain tied to specific assumptions</w:t>
      </w:r>
      <w:r>
        <w:t xml:space="preserve"> </w:t>
      </w:r>
      <w:r>
        <w:t>about initial inoculum sources, pathogen phenology or local climatic</w:t>
      </w:r>
      <w:r>
        <w:t xml:space="preserve"> </w:t>
      </w:r>
      <w:r>
        <w:t>contexts.</w:t>
      </w:r>
    </w:p>
    <w:p>
      <w:pPr>
        <w:pStyle w:val="Normal"/>
        <w:spacing w:line="480" w:lineRule="auto"/>
      </w:pPr>
      <w:r>
        <w:t>The mechanistic Rossi model (RM) represents a major advance for</w:t>
      </w:r>
      <w:r>
        <w:t xml:space="preserve"> </w:t>
      </w:r>
      <w:r>
        <w:t>temperate vineyards, where overwintered oospores constitute the primary</w:t>
      </w:r>
      <w:r>
        <w:t xml:space="preserve"> </w:t>
      </w:r>
      <w:r>
        <w:t>source of early-season inoculum (</w:t>
      </w:r>
      <w:hyperlink w:anchor="ref_gobbin_2005_17" w:history="1">
        <w:r>
          <w:rPr>
            <w:rStyle w:val="Hyperlink"/>
          </w:rPr>
          <w:t>Gobbin et al., 2005</w:t>
        </w:r>
      </w:hyperlink>
      <w:r>
        <w:t xml:space="preserve">; </w:t>
      </w:r>
      <w:hyperlink w:anchor="ref_rossi_2008_43" w:history="1">
        <w:r>
          <w:rPr>
            <w:rStyle w:val="Hyperlink"/>
          </w:rPr>
          <w:t>Rossi et al., 2008</w:t>
        </w:r>
      </w:hyperlink>
      <w:r>
        <w:t>). RM explicitly describes the oospore-driven primary infection</w:t>
      </w:r>
      <w:r>
        <w:t xml:space="preserve"> </w:t>
      </w:r>
      <w:r>
        <w:t>pathway from oospore maturation and germination to sporangia formation,</w:t>
      </w:r>
      <w:r>
        <w:t xml:space="preserve"> </w:t>
      </w:r>
      <w:r>
        <w:t>zoospore release, dispersal, infection and symptom expression, while</w:t>
      </w:r>
      <w:r>
        <w:t xml:space="preserve"> </w:t>
      </w:r>
      <w:r>
        <w:t>coupling these biological stages with temperature, rainfall, relative</w:t>
      </w:r>
      <w:r>
        <w:t xml:space="preserve"> </w:t>
      </w:r>
      <w:r>
        <w:t>humidity and leaf wetness. Field applications have shown that RM-based</w:t>
      </w:r>
      <w:r>
        <w:t xml:space="preserve"> </w:t>
      </w:r>
      <w:r>
        <w:t>forecasts can improve the timing of early disease control and reduce</w:t>
      </w:r>
      <w:r>
        <w:t xml:space="preserve"> </w:t>
      </w:r>
      <w:r>
        <w:t>seasonal spray numbers without compromising protection (</w:t>
      </w:r>
      <w:hyperlink w:anchor="ref_caffi_2010_6" w:history="1">
        <w:r>
          <w:rPr>
            <w:rStyle w:val="Hyperlink"/>
          </w:rPr>
          <w:t>Caffi et al., 2010</w:t>
        </w:r>
      </w:hyperlink>
      <w:r>
        <w:t>). As a result, RM has become a benchmark framework for</w:t>
      </w:r>
      <w:r>
        <w:t xml:space="preserve"> </w:t>
      </w:r>
      <w:r>
        <w:t>mechanistic primary infection forecasting in temperate grape production</w:t>
      </w:r>
      <w:r>
        <w:t xml:space="preserve"> </w:t>
      </w:r>
      <w:r>
        <w:t>systems.</w:t>
      </w:r>
    </w:p>
    <w:p>
      <w:pPr>
        <w:pStyle w:val="Normal"/>
        <w:spacing w:line="480" w:lineRule="auto"/>
      </w:pPr>
      <w:r>
        <w:t>Tropical and subtropical viticultural systems differ markedly from these</w:t>
      </w:r>
      <w:r>
        <w:t xml:space="preserve"> </w:t>
      </w:r>
      <w:r>
        <w:t>temperate settings in both climatic seasonality and pathogen survival</w:t>
      </w:r>
      <w:r>
        <w:t xml:space="preserve"> </w:t>
      </w:r>
      <w:r>
        <w:t>ecology (</w:t>
      </w:r>
      <w:hyperlink w:anchor="ref_carisse_2016_8" w:history="1">
        <w:r>
          <w:rPr>
            <w:rStyle w:val="Hyperlink"/>
          </w:rPr>
          <w:t>Carisse, 2016</w:t>
        </w:r>
      </w:hyperlink>
      <w:r>
        <w:t xml:space="preserve">; </w:t>
      </w:r>
      <w:hyperlink w:anchor="ref_yi_2019_56" w:history="1">
        <w:r>
          <w:rPr>
            <w:rStyle w:val="Hyperlink"/>
          </w:rPr>
          <w:t>Yi et al., 2019</w:t>
        </w:r>
      </w:hyperlink>
      <w:r>
        <w:t xml:space="preserve">; </w:t>
      </w:r>
      <w:hyperlink w:anchor="ref_yu_2022_58" w:history="1">
        <w:r>
          <w:rPr>
            <w:rStyle w:val="Hyperlink"/>
          </w:rPr>
          <w:t>Yu et al., 2022</w:t>
        </w:r>
      </w:hyperlink>
      <w:r>
        <w:t xml:space="preserve">; </w:t>
      </w:r>
      <w:hyperlink w:anchor="ref_kocsis_2024_28" w:history="1">
        <w:r>
          <w:rPr>
            <w:rStyle w:val="Hyperlink"/>
          </w:rPr>
          <w:t>Kocsis et al., 2024</w:t>
        </w:r>
      </w:hyperlink>
      <w:r>
        <w:t>). In regions with mild winters, variable pruning-induced</w:t>
      </w:r>
      <w:r>
        <w:t xml:space="preserve"> </w:t>
      </w:r>
      <w:r>
        <w:t>growth cycles or extended periods of green tissue availability,</w:t>
      </w:r>
      <w:r>
        <w:t xml:space="preserve"> </w:t>
      </w:r>
      <w:r>
        <w:rPr>
          <w:i/>
          <w:iCs/>
        </w:rPr>
        <w:t>P. viticola</w:t>
      </w:r>
      <w:r>
        <w:t xml:space="preserve"> </w:t>
      </w:r>
      <w:r>
        <w:t>may persist through asexual pathways rather than</w:t>
      </w:r>
      <w:r>
        <w:t xml:space="preserve"> </w:t>
      </w:r>
      <w:r>
        <w:t>being reintroduced each season through oospore-driven primary infection</w:t>
      </w:r>
      <w:r>
        <w:t xml:space="preserve"> </w:t>
      </w:r>
      <w:r>
        <w:t>(</w:t>
      </w:r>
      <w:hyperlink w:anchor="ref_hug_2005_22" w:history="1">
        <w:r>
          <w:rPr>
            <w:rStyle w:val="Hyperlink"/>
          </w:rPr>
          <w:t>Hug, 2005</w:t>
        </w:r>
      </w:hyperlink>
      <w:r>
        <w:t xml:space="preserve">; </w:t>
      </w:r>
      <w:hyperlink w:anchor="ref_gobbin_2006_18" w:history="1">
        <w:r>
          <w:rPr>
            <w:rStyle w:val="Hyperlink"/>
          </w:rPr>
          <w:t>Gobbin et al., 2006</w:t>
        </w:r>
      </w:hyperlink>
      <w:r>
        <w:t xml:space="preserve">; </w:t>
      </w:r>
      <w:hyperlink w:anchor="ref_rumbou_2006_45" w:history="1">
        <w:r>
          <w:rPr>
            <w:rStyle w:val="Hyperlink"/>
          </w:rPr>
          <w:t>Rumbou and Gessler, 2006</w:t>
        </w:r>
      </w:hyperlink>
      <w:r>
        <w:t xml:space="preserve">; </w:t>
      </w:r>
      <w:hyperlink w:anchor="ref_koopman_2007_30" w:history="1">
        <w:r>
          <w:rPr>
            <w:rStyle w:val="Hyperlink"/>
          </w:rPr>
          <w:t>Koopman et al., 2007</w:t>
        </w:r>
      </w:hyperlink>
      <w:r>
        <w:t>). In Sri Lanka, for example, evergreen grapevine production</w:t>
      </w:r>
      <w:r>
        <w:t xml:space="preserve"> </w:t>
      </w:r>
      <w:r>
        <w:t>cycles initiated by pruning are associated with epidemics apparently</w:t>
      </w:r>
      <w:r>
        <w:t xml:space="preserve"> </w:t>
      </w:r>
      <w:r>
        <w:t>triggered by sporangia produced on green vegetation, while oospores were</w:t>
      </w:r>
      <w:r>
        <w:t xml:space="preserve"> </w:t>
      </w:r>
      <w:r>
        <w:t>not observed despite targeted searches (</w:t>
      </w:r>
      <w:hyperlink w:anchor="ref_ramanathan_1988_41" w:history="1">
        <w:r>
          <w:rPr>
            <w:rStyle w:val="Hyperlink"/>
          </w:rPr>
          <w:t>Ramanathan and Sivapalan, 1988</w:t>
        </w:r>
      </w:hyperlink>
      <w:r>
        <w:t>).</w:t>
      </w:r>
      <w:r>
        <w:t xml:space="preserve"> </w:t>
      </w:r>
      <w:r>
        <w:t>In subtropical Brazil, population genetic patterns indicated epidemics</w:t>
      </w:r>
      <w:r>
        <w:t xml:space="preserve"> </w:t>
      </w:r>
      <w:r>
        <w:t>dominated by clonal infections, consistent with predominantly asexual</w:t>
      </w:r>
      <w:r>
        <w:t xml:space="preserve"> </w:t>
      </w:r>
      <w:r>
        <w:t>reproduction. In other mild-winter regions, such as California and</w:t>
      </w:r>
      <w:r>
        <w:t xml:space="preserve"> </w:t>
      </w:r>
      <w:r>
        <w:t>Western Australia, the pathogen has been suggested to survive as</w:t>
      </w:r>
      <w:r>
        <w:t xml:space="preserve"> </w:t>
      </w:r>
      <w:r>
        <w:t>mycelium in buds and persistent leaves (</w:t>
      </w:r>
      <w:hyperlink w:anchor="ref_barrett_1939_2" w:history="1">
        <w:r>
          <w:rPr>
            <w:rStyle w:val="Hyperlink"/>
          </w:rPr>
          <w:t>Barrett, 1939</w:t>
        </w:r>
      </w:hyperlink>
      <w:r>
        <w:t xml:space="preserve">; </w:t>
      </w:r>
      <w:hyperlink w:anchor="ref_killigrew_2005_27" w:history="1">
        <w:r>
          <w:rPr>
            <w:rStyle w:val="Hyperlink"/>
          </w:rPr>
          <w:t>Killigrew et al., 2005</w:t>
        </w:r>
      </w:hyperlink>
      <w:r>
        <w:t>), although successful sporulation from lesions on lignified</w:t>
      </w:r>
      <w:r>
        <w:t xml:space="preserve"> </w:t>
      </w:r>
      <w:r>
        <w:t>canes has not been demonstrated (</w:t>
      </w:r>
      <w:hyperlink w:anchor="ref_taylor_2018_50" w:history="1">
        <w:r>
          <w:rPr>
            <w:rStyle w:val="Hyperlink"/>
          </w:rPr>
          <w:t>Taylor, 2018</w:t>
        </w:r>
      </w:hyperlink>
      <w:r>
        <w:t>). Collectively, these</w:t>
      </w:r>
      <w:r>
        <w:t xml:space="preserve"> </w:t>
      </w:r>
      <w:r>
        <w:t>observations indicate that climate-dependent survival and inoculum</w:t>
      </w:r>
      <w:r>
        <w:t xml:space="preserve"> </w:t>
      </w:r>
      <w:r>
        <w:t>pathways can alter the biological basis of first seasonal infection.</w:t>
      </w:r>
    </w:p>
    <w:p>
      <w:pPr>
        <w:pStyle w:val="Normal"/>
        <w:spacing w:line="480" w:lineRule="auto"/>
      </w:pPr>
      <w:r>
        <w:t>This epidemiological divergence creates a modelling gap for subtropical</w:t>
      </w:r>
      <w:r>
        <w:t xml:space="preserve"> </w:t>
      </w:r>
      <w:r>
        <w:t>disease management. Mechanistic frameworks developed for oospore-driven</w:t>
      </w:r>
      <w:r>
        <w:t xml:space="preserve"> </w:t>
      </w:r>
      <w:r>
        <w:t>primary infection may not adequately represent systems in which</w:t>
      </w:r>
      <w:r>
        <w:t xml:space="preserve"> </w:t>
      </w:r>
      <w:r>
        <w:t>airborne asexual sporangia constitute a persistent or recurrent inoculum</w:t>
      </w:r>
      <w:r>
        <w:t xml:space="preserve"> </w:t>
      </w:r>
      <w:r>
        <w:t>source during early crop development. At the same time, airborne</w:t>
      </w:r>
      <w:r>
        <w:t xml:space="preserve"> </w:t>
      </w:r>
      <w:r>
        <w:t>sporangia monitoring has been shown to provide useful information for</w:t>
      </w:r>
      <w:r>
        <w:t xml:space="preserve"> </w:t>
      </w:r>
      <w:r>
        <w:t>disease prediction (</w:t>
      </w:r>
      <w:hyperlink w:anchor="ref_brischetto_2021_5" w:history="1">
        <w:r>
          <w:rPr>
            <w:rStyle w:val="Hyperlink"/>
          </w:rPr>
          <w:t>Brischetto et al., 2021</w:t>
        </w:r>
      </w:hyperlink>
      <w:r>
        <w:t xml:space="preserve">; </w:t>
      </w:r>
      <w:hyperlink w:anchor="ref_carisse_2021_9" w:history="1">
        <w:r>
          <w:rPr>
            <w:rStyle w:val="Hyperlink"/>
          </w:rPr>
          <w:t>Carisse et al., 2021</w:t>
        </w:r>
      </w:hyperlink>
      <w:r>
        <w:t>), but</w:t>
      </w:r>
      <w:r>
        <w:t xml:space="preserve"> </w:t>
      </w:r>
      <w:r>
        <w:t>such observations have rarely been embedded within process-based models</w:t>
      </w:r>
      <w:r>
        <w:t xml:space="preserve"> </w:t>
      </w:r>
      <w:r>
        <w:t>as dynamic constraints on infection triggering. A field-tested framework</w:t>
      </w:r>
      <w:r>
        <w:t xml:space="preserve"> </w:t>
      </w:r>
      <w:r>
        <w:t>that jointly represents asexual inoculum pressure, meteorological</w:t>
      </w:r>
      <w:r>
        <w:t xml:space="preserve"> </w:t>
      </w:r>
      <w:r>
        <w:t>suitability and host susceptibility is therefore needed to support</w:t>
      </w:r>
      <w:r>
        <w:t xml:space="preserve"> </w:t>
      </w:r>
      <w:r>
        <w:t>climate-adaptive disease management in subtropical vineyards.</w:t>
      </w:r>
    </w:p>
    <w:p>
      <w:pPr>
        <w:pStyle w:val="Normal"/>
        <w:spacing w:line="480" w:lineRule="auto"/>
      </w:pPr>
      <w:r>
        <w:t>To address this need, we developed a</w:t>
      </w:r>
      <w:r>
        <w:t xml:space="preserve"> </w:t>
      </w:r>
      <w:r>
        <w:rPr>
          <w:i/>
          <w:iCs/>
        </w:rPr>
        <w:t>First Seasonal Infection</w:t>
      </w:r>
      <w:r>
        <w:rPr>
          <w:i/>
          <w:iCs/>
        </w:rPr>
        <w:t xml:space="preserve"> </w:t>
      </w:r>
      <w:r>
        <w:rPr>
          <w:i/>
          <w:iCs/>
        </w:rPr>
        <w:t>Model</w:t>
      </w:r>
      <w:r>
        <w:t xml:space="preserve"> </w:t>
      </w:r>
      <w:r>
        <w:t>(FSIM) for tropical and subtropical viticultural conditions by</w:t>
      </w:r>
      <w:r>
        <w:t xml:space="preserve"> </w:t>
      </w:r>
      <w:r>
        <w:t>restructuring the epidemiological framework derived from the Rossi</w:t>
      </w:r>
      <w:r>
        <w:t xml:space="preserve"> </w:t>
      </w:r>
      <w:r>
        <w:t>primary infection model and related infection-risk approaches (</w:t>
      </w:r>
      <w:hyperlink w:anchor="ref_rossi_2008_43" w:history="1">
        <w:r>
          <w:rPr>
            <w:rStyle w:val="Hyperlink"/>
          </w:rPr>
          <w:t>Rossi et al., 2008</w:t>
        </w:r>
      </w:hyperlink>
      <w:r>
        <w:t xml:space="preserve">; </w:t>
      </w:r>
      <w:hyperlink w:anchor="ref_brischetto_2021_5" w:history="1">
        <w:r>
          <w:rPr>
            <w:rStyle w:val="Hyperlink"/>
          </w:rPr>
          <w:t>Brischetto et al., 2021</w:t>
        </w:r>
      </w:hyperlink>
      <w:r>
        <w:t>). In this study, first seasonal</w:t>
      </w:r>
      <w:r>
        <w:t xml:space="preserve"> </w:t>
      </w:r>
      <w:r>
        <w:t>infection denotes the earliest infection event of a new grape-growing</w:t>
      </w:r>
      <w:r>
        <w:t xml:space="preserve"> </w:t>
      </w:r>
      <w:r>
        <w:t>season driven by asexual inoculum, in contrast to oospore-driven primary</w:t>
      </w:r>
      <w:r>
        <w:t xml:space="preserve"> </w:t>
      </w:r>
      <w:r>
        <w:t>infection in temperate systems. Airborne asexual spores were treated as</w:t>
      </w:r>
      <w:r>
        <w:t xml:space="preserve"> </w:t>
      </w:r>
      <w:r>
        <w:t>the initial inoculum and coupled with key meteorological drivers to</w:t>
      </w:r>
      <w:r>
        <w:t xml:space="preserve"> </w:t>
      </w:r>
      <w:r>
        <w:t>simulate infection timing. Field sporangia observations were then</w:t>
      </w:r>
      <w:r>
        <w:t xml:space="preserve"> </w:t>
      </w:r>
      <w:r>
        <w:t>incorporated as a dynamic inoculum pressure field, producing an extended</w:t>
      </w:r>
      <w:r>
        <w:t xml:space="preserve"> </w:t>
      </w:r>
      <w:r>
        <w:t>model (FSIM-S) in which infection triggering is constrained by both</w:t>
      </w:r>
      <w:r>
        <w:t xml:space="preserve"> </w:t>
      </w:r>
      <w:r>
        <w:t>environmental suitability and observed spore pressure. The framework was</w:t>
      </w:r>
      <w:r>
        <w:t xml:space="preserve"> </w:t>
      </w:r>
      <w:r>
        <w:t>evaluated using three-year, multi-site field observations in Guangxi and</w:t>
      </w:r>
      <w:r>
        <w:t xml:space="preserve"> </w:t>
      </w:r>
      <w:r>
        <w:t>applied to regional disease reconstruction and model-guided management</w:t>
      </w:r>
      <w:r>
        <w:t xml:space="preserve"> </w:t>
      </w:r>
      <w:r>
        <w:t>scenario analysis. By linking inoculum monitoring with agroclimatic</w:t>
      </w:r>
      <w:r>
        <w:t xml:space="preserve"> </w:t>
      </w:r>
      <w:r>
        <w:t>process modelling, FSIM-S provides a basis for climate-smart grapevine</w:t>
      </w:r>
      <w:r>
        <w:t xml:space="preserve"> </w:t>
      </w:r>
      <w:r>
        <w:t>downy mildew management in subtropical viticulture.</w:t>
      </w:r>
    </w:p>
    <w:bookmarkEnd w:id="12"/>
    <w:bookmarkStart w:id="63" w:name="materials-and-methods"/>
    <w:p>
      <w:pPr>
        <w:pStyle w:val="Heading1"/>
      </w:pPr>
      <w:r>
        <w:t xml:space="preserve">Materials and methods</w:t>
      </w:r>
    </w:p>
    <w:bookmarkStart w:id="17" w:name="study-design-and-overall-workflow"/>
    <w:p>
      <w:pPr>
        <w:pStyle w:val="Heading2"/>
      </w:pPr>
      <w:r>
        <w:t xml:space="preserve">Study design and overall</w:t>
      </w:r>
      <w:r>
        <w:t xml:space="preserve"> </w:t>
      </w:r>
      <w:r>
        <w:t xml:space="preserve">workflow</w:t>
      </w:r>
    </w:p>
    <w:p>
      <w:pPr>
        <w:pStyle w:val="FirstParagraph"/>
        <w:spacing w:line="480" w:lineRule="auto"/>
      </w:pPr>
      <w:r>
        <w:t xml:space="preserve">This study was designed as a three-year, multi-site, field-based</w:t>
      </w:r>
      <w:r>
        <w:t xml:space="preserve"> </w:t>
      </w:r>
      <w:r>
        <w:t xml:space="preserve">agronomic modelling study in two commercial vineyards and one</w:t>
      </w:r>
      <w:r>
        <w:t xml:space="preserve"> </w:t>
      </w:r>
      <w:r>
        <w:t xml:space="preserve">experimental orchard under subtropical conditions. The</w:t>
      </w:r>
      <w:r>
        <w:t xml:space="preserve"> </w:t>
      </w:r>
      <w:r>
        <w:t xml:space="preserve">workflow combined field observations, process-based modelling, and</w:t>
      </w:r>
      <w:r>
        <w:t xml:space="preserve"> </w:t>
      </w:r>
      <w:r>
        <w:t xml:space="preserve">regional simulation to characterize the mechanisms governing first</w:t>
      </w:r>
      <w:r>
        <w:t xml:space="preserve"> </w:t>
      </w:r>
      <w:r>
        <w:t xml:space="preserve">seasonal infection of grapevine downy mildew and to evaluate the</w:t>
      </w:r>
      <w:r>
        <w:t xml:space="preserve"> </w:t>
      </w:r>
      <w:r>
        <w:t xml:space="preserve">potential of the proposed framework for improving disease-management timing</w:t>
      </w:r>
      <w:r>
        <w:t xml:space="preserve"> </w:t>
      </w:r>
      <w:r>
        <w:t xml:space="preserve">(</w:t>
      </w:r>
      <w:hyperlink w:anchor="X9382b5987218724b767875ee982b27a3655ecd1">
        <w:r>
          <w:rPr>
            <w:rStyle w:val="Hyperlink"/>
          </w:rPr>
          <w:t xml:space="preserve">Fig 1</w:t>
        </w:r>
      </w:hyperlink>
      <w:r>
        <w:t xml:space="preserve">). The overall design comprised three</w:t>
      </w:r>
      <w:r>
        <w:t xml:space="preserve"> </w:t>
      </w:r>
      <w:r>
        <w:t xml:space="preserve">main stages: (1) multi-site field monitoring to capture airborne</w:t>
      </w:r>
      <w:r>
        <w:t xml:space="preserve"> </w:t>
      </w:r>
      <w:r>
        <w:t xml:space="preserve">inoculum dynamics, grapevine phenology, management records, and the</w:t>
      </w:r>
      <w:r>
        <w:t xml:space="preserve"> </w:t>
      </w:r>
      <w:r>
        <w:t xml:space="preserve">timing of first seasonal infection; (2) development of a biologically</w:t>
      </w:r>
      <w:r>
        <w:t xml:space="preserve"> </w:t>
      </w:r>
      <w:r>
        <w:t xml:space="preserve">consistent</w:t>
      </w:r>
      <w:r>
        <w:t xml:space="preserve"> </w:t>
      </w:r>
      <w:r>
        <w:rPr>
          <w:i/>
          <w:iCs/>
        </w:rPr>
        <w:t xml:space="preserve">First Seasonal Infection Model</w:t>
      </w:r>
      <w:r>
        <w:t xml:space="preserve"> </w:t>
      </w:r>
      <w:r>
        <w:t xml:space="preserve">(FSIM), followed by</w:t>
      </w:r>
      <w:r>
        <w:t xml:space="preserve"> </w:t>
      </w:r>
      <w:r>
        <w:t xml:space="preserve">stepwise evaluation, optimization, and calibration; and (3)</w:t>
      </w:r>
      <w:r>
        <w:t xml:space="preserve"> </w:t>
      </w:r>
      <w:r>
        <w:t xml:space="preserve">regional-scale simulations driven by long-term meteorological data to</w:t>
      </w:r>
      <w:r>
        <w:t xml:space="preserve"> </w:t>
      </w:r>
      <w:r>
        <w:t xml:space="preserve">assess infection risk and disease-management scenarios.</w:t>
      </w:r>
    </w:p>
    <w:p>
      <w:pPr>
        <w:pStyle w:val="Normal"/>
        <w:spacing w:line="480" w:lineRule="auto"/>
      </w:pPr>
      <w:r>
        <w:t>Field experiments were conducted from 2022 to 2024 in two commercial</w:t>
      </w:r>
      <w:r>
        <w:t xml:space="preserve"> </w:t>
      </w:r>
      <w:r>
        <w:t>vineyards and one experimental orchard located in Nanning, Guilin, and</w:t>
      </w:r>
      <w:r>
        <w:t xml:space="preserve"> </w:t>
      </w:r>
      <w:r>
        <w:t>Hechi, Guangxi Province.</w:t>
      </w:r>
      <w:r>
        <w:t xml:space="preserve"> </w:t>
      </w:r>
      <w:r>
        <w:t>Observations included: (i) continuous monitoring of airborne</w:t>
      </w:r>
      <w:r>
        <w:t xml:space="preserve"> </w:t>
      </w:r>
      <w:r>
        <w:rPr>
          <w:i/>
          <w:iCs/>
        </w:rPr>
        <w:t>P. viticola</w:t>
      </w:r>
      <w:r>
        <w:t xml:space="preserve"> </w:t>
      </w:r>
      <w:r>
        <w:t>inoculum, (ii) dates of first visible downy mildew lesions of the</w:t>
      </w:r>
      <w:r>
        <w:t xml:space="preserve"> </w:t>
      </w:r>
      <w:r>
        <w:t>season, which were used to determine first seasonal infection timing,</w:t>
      </w:r>
      <w:r>
        <w:t xml:space="preserve"> </w:t>
      </w:r>
      <w:r>
        <w:t>(iii) grapevine phenological stages, and (iv) agronomic management</w:t>
      </w:r>
      <w:r>
        <w:t xml:space="preserve"> </w:t>
      </w:r>
      <w:r>
        <w:t>records. Historical hourly meteorological data for the period 2000–2024</w:t>
      </w:r>
      <w:r>
        <w:t xml:space="preserve"> </w:t>
      </w:r>
      <w:r>
        <w:t>were obtained from the ERA5 reanalysis dataset and used to provide</w:t>
      </w:r>
      <w:r>
        <w:t xml:space="preserve"> </w:t>
      </w:r>
      <w:r>
        <w:t>meteorological forcing for model simulations (</w:t>
      </w:r>
      <w:hyperlink w:anchor="ref_hersbach_2020_19" w:history="1">
        <w:r>
          <w:rPr>
            <w:rStyle w:val="Hyperlink"/>
          </w:rPr>
          <w:t>Hersbach et al., 2020</w:t>
        </w:r>
      </w:hyperlink>
      <w:r>
        <w:t>).</w:t>
      </w:r>
    </w:p>
    <w:p>
      <w:pPr>
        <w:pStyle w:val="Normal"/>
        <w:spacing w:line="480" w:lineRule="auto"/>
      </w:pPr>
      <w:r>
        <w:t xml:space="preserve">At the modelling stage, the newly developed FSIM was first</w:t>
      </w:r>
      <w:r>
        <w:t xml:space="preserve"> </w:t>
      </w:r>
      <w:r>
        <w:t xml:space="preserve">systematically evaluated to examine its ability to represent the timing</w:t>
      </w:r>
      <w:r>
        <w:t xml:space="preserve"> </w:t>
      </w:r>
      <w:r>
        <w:t xml:space="preserve">of first seasonal infection under subtropical conditions in Guangxi.</w:t>
      </w:r>
      <w:r>
        <w:t xml:space="preserve"> </w:t>
      </w:r>
      <w:r>
        <w:t xml:space="preserve">Subsequently, field-based spore monitoring data were incorporated to</w:t>
      </w:r>
      <w:r>
        <w:t xml:space="preserve"> </w:t>
      </w:r>
      <w:r>
        <w:t xml:space="preserve">characterize inoculum pressure and to constrain infection processes,</w:t>
      </w:r>
      <w:r>
        <w:t xml:space="preserve"> </w:t>
      </w:r>
      <w:r>
        <w:t xml:space="preserve">resulting in an observation-informed framework (FSIM-S).</w:t>
      </w:r>
    </w:p>
    <w:p>
      <w:pPr>
        <w:pStyle w:val="Normal"/>
        <w:spacing w:line="480" w:lineRule="auto"/>
      </w:pPr>
      <w:r>
        <w:t>The models were parameterized and cross-validated using multi-site field</w:t>
      </w:r>
      <w:r>
        <w:t xml:space="preserve"> </w:t>
      </w:r>
      <w:r>
        <w:t>observations (2022–2024). The optimized framework was then applied in</w:t>
      </w:r>
      <w:r>
        <w:t xml:space="preserve"> </w:t>
      </w:r>
      <w:r>
        <w:t>regional simulations covering 2000–2024 to quantify long-term spatial</w:t>
      </w:r>
      <w:r>
        <w:t xml:space="preserve"> </w:t>
      </w:r>
      <w:r>
        <w:t>variability in infection risk and to assess the management implications</w:t>
      </w:r>
      <w:r>
        <w:t xml:space="preserve"> </w:t>
      </w:r>
      <w:r>
        <w:t>of model-informed decision support (</w:t>
      </w:r>
      <w:hyperlink w:anchor="ref_zhao_2024_62" w:history="1">
        <w:r>
          <w:rPr>
            <w:rStyle w:val="Hyperlink"/>
          </w:rPr>
          <w:t>Zhao et al., 2024</w:t>
        </w:r>
      </w:hyperlink>
      <w:r>
        <w:t>).</w:t>
      </w:r>
    </w:p>
    <w:bookmarkStart w:id="16" w:name="X9382b5987218724b767875ee982b27a3655ecd1"/>
    <w:p>
      <w:pPr>
        <w:pStyle w:val="CaptionedFigure"/>
        <w:jc w:val="center"/>
      </w:pPr>
      <w:r>
        <w:drawing>
          <ns2:inline>
            <ns2:extent cx="3723005" cy="6359882"/>
            <ns2:effectExtent b="0" l="0" r="0" t="0"/>
            <ns2:docPr descr="" title="" id="14" name="Picture"/>
            <ns3:graphic>
              <ns3:graphicData uri="http://schemas.openxmlformats.org/drawingml/2006/picture">
                <ns4:pic>
                  <ns4:nvPicPr>
                    <ns4:cNvPr descr="fig/workflow.png" id="15" name="Picture"/>
                    <ns4:cNvPicPr>
                      <ns3:picLocks noChangeArrowheads="1" noChangeAspect="1"/>
                    </ns4:cNvPicPr>
                  </ns4:nvPicPr>
                  <ns4:blipFill>
                    <ns3:blip r:embed="rId13"/>
                    <ns3:stretch>
                      <ns3:fillRect/>
                    </ns3:stretch>
                  </ns4:blipFill>
                  <ns4:spPr bwMode="auto">
                    <ns3:xfrm>
                      <ns3:off x="0" y="0"/>
                      <ns3:ext cx="3723005" cy="6359882"/>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1. Overall workflow of this study. CK indicates control plots without fungicide applications, whereas TT denotes plots managed under conventional fungicide schedules.</w:t>
      </w:r>
    </w:p>
    <w:bookmarkEnd w:id="16"/>
    <w:bookmarkEnd w:id="17"/>
    <w:bookmarkStart w:id="41" w:name="field-experiments-and-data-collection"/>
    <w:p>
      <w:pPr>
        <w:pStyle w:val="Heading2"/>
      </w:pPr>
      <w:r>
        <w:t xml:space="preserve">Field experiments and data</w:t>
      </w:r>
      <w:r>
        <w:t xml:space="preserve"> </w:t>
      </w:r>
      <w:r>
        <w:t xml:space="preserve">collection</w:t>
      </w:r>
    </w:p>
    <w:bookmarkStart w:id="27" w:name="site-description-climate-vineyard-layout"/>
    <w:p>
      <w:pPr>
        <w:pStyle w:val="Heading3"/>
      </w:pPr>
      <w:r>
        <w:t xml:space="preserve">Site description, climate, vineyard</w:t>
      </w:r>
      <w:r>
        <w:t xml:space="preserve"> </w:t>
      </w:r>
      <w:r>
        <w:t xml:space="preserve">layout</w:t>
      </w:r>
    </w:p>
    <w:p>
      <w:pPr>
        <w:pStyle w:val="FirstParagraph"/>
        <w:spacing w:line="480" w:lineRule="auto"/>
      </w:pPr>
      <w:r>
        <w:t xml:space="preserve">Field experiments were conducted from 2022 to 2024 in two commercial</w:t>
      </w:r>
      <w:r>
        <w:t xml:space="preserve"> </w:t>
      </w:r>
      <w:r>
        <w:t xml:space="preserve">vineyards and one experimental orchard located in the humid subtropical</w:t>
      </w:r>
      <w:r>
        <w:t xml:space="preserve"> </w:t>
      </w:r>
      <w:r>
        <w:t xml:space="preserve">zone of the Guangxi Zhuang Autonomous Region, southern China,</w:t>
      </w:r>
      <w:r>
        <w:t xml:space="preserve"> </w:t>
      </w:r>
      <w:r>
        <w:t xml:space="preserve">specifically in Xing’an (Guilin), Du’an (Hechi), and Jiangnan (Nanning)</w:t>
      </w:r>
      <w:r>
        <w:t xml:space="preserve"> </w:t>
      </w:r>
      <w:r>
        <w:t xml:space="preserve">(</w:t>
      </w:r>
      <w:hyperlink w:anchor="X6943187ac80dd2eec07635b544896e83686ebbc">
        <w:r>
          <w:rPr>
            <w:rStyle w:val="Hyperlink"/>
          </w:rPr>
          <w:t xml:space="preserve">Table 1</w:t>
        </w:r>
      </w:hyperlink>
      <w:r>
        <w:t xml:space="preserve">;</w:t>
      </w:r>
      <w:r>
        <w:t xml:space="preserve"> </w:t>
      </w:r>
      <w:hyperlink w:anchor="Xf6aa8600996f8e17d787f9402e4a62c671c1344">
        <w:r>
          <w:rPr>
            <w:rStyle w:val="Hyperlink"/>
          </w:rPr>
          <w:t xml:space="preserve">Fig</w:t>
        </w:r>
        <w:r>
          <w:rPr>
            <w:rStyle w:val="Hyperlink"/>
          </w:rPr>
          <w:t xml:space="preserve"> </w:t>
        </w:r>
        <w:r>
          <w:rPr>
            <w:rStyle w:val="Hyperlink"/>
          </w:rPr>
          <w:t xml:space="preserve">2a,b</w:t>
        </w:r>
      </w:hyperlink>
      <w:r>
        <w:t xml:space="preserve">). These sites span a pronounced</w:t>
      </w:r>
      <w:r>
        <w:t xml:space="preserve"> </w:t>
      </w:r>
      <w:r>
        <w:t xml:space="preserve">mesoscale gradient in thermal and moisture conditions and collectively</w:t>
      </w:r>
      <w:r>
        <w:t xml:space="preserve"> </w:t>
      </w:r>
      <w:r>
        <w:t xml:space="preserve">characterize the early-season climatic context of the study region. Over</w:t>
      </w:r>
      <w:r>
        <w:t xml:space="preserve"> </w:t>
      </w:r>
      <w:r>
        <w:t xml:space="preserve">the three-year study period, the mean air temperature across sites was</w:t>
      </w:r>
      <w:r>
        <w:t xml:space="preserve"> </w:t>
      </w:r>
      <w:r>
        <w:t xml:space="preserve">21.0 °C, and relative humidity remained persistently high (mean 75.9%).</w:t>
      </w:r>
      <w:r>
        <w:t xml:space="preserve"> </w:t>
      </w:r>
      <w:r>
        <w:t xml:space="preserve">Rainfall was abundant and frequent, with a multi-year mean annual total</w:t>
      </w:r>
      <w:r>
        <w:t xml:space="preserve"> </w:t>
      </w:r>
      <w:r>
        <w:t xml:space="preserve">of 2,134 mm and an average of 149 rainy days per year. Rainy days were</w:t>
      </w:r>
      <w:r>
        <w:t xml:space="preserve"> </w:t>
      </w:r>
      <w:r>
        <w:t xml:space="preserve">defined as days with daily precipitation &gt;0.2 mm, consistent</w:t>
      </w:r>
      <w:r>
        <w:t xml:space="preserve"> </w:t>
      </w:r>
      <w:r>
        <w:t xml:space="preserve">with the resolution of the meteorological dataset used</w:t>
      </w:r>
      <w:r>
        <w:t xml:space="preserve"> </w:t>
      </w:r>
      <w:r>
        <w:t xml:space="preserve">(</w:t>
      </w:r>
      <w:hyperlink w:anchor="X1efb8c6a309e42b8504d22d6db41495b189c98c">
        <w:r>
          <w:rPr>
            <w:rStyle w:val="Hyperlink"/>
          </w:rPr>
          <w:t xml:space="preserve">Fig 3</w:t>
        </w:r>
      </w:hyperlink>
      <w:r>
        <w:t xml:space="preserve">).</w:t>
      </w:r>
    </w:p>
    <w:p>
      <w:pPr>
        <w:pStyle w:val="Normal"/>
        <w:spacing w:line="480" w:lineRule="auto"/>
      </w:pPr>
      <w:r>
        <w:t xml:space="preserve">Compared with temperate viticultural regions of central Europe, winter</w:t>
      </w:r>
      <w:r>
        <w:t xml:space="preserve"> </w:t>
      </w:r>
      <w:r>
        <w:t xml:space="preserve">conditions at the study sites were characterized by relatively high</w:t>
      </w:r>
      <w:r>
        <w:t xml:space="preserve"> </w:t>
      </w:r>
      <w:r>
        <w:t xml:space="preserve">temperature and humidity and typically did not include severe cold</w:t>
      </w:r>
      <w:r>
        <w:t xml:space="preserve"> </w:t>
      </w:r>
      <w:r>
        <w:t xml:space="preserve">events (</w:t>
      </w:r>
      <w:hyperlink w:anchor="X1efb8c6a309e42b8504d22d6db41495b189c98c">
        <w:r>
          <w:rPr>
            <w:rStyle w:val="Hyperlink"/>
          </w:rPr>
          <w:t xml:space="preserve">Fig 3</w:t>
        </w:r>
      </w:hyperlink>
      <w:r>
        <w:t xml:space="preserve">). In addition, the adoption of a</w:t>
      </w:r>
      <w:r>
        <w:t xml:space="preserve"> </w:t>
      </w:r>
      <w:r>
        <w:t xml:space="preserve">secondary cropping system at some vineyards resulted in delayed leaf</w:t>
      </w:r>
      <w:r>
        <w:t xml:space="preserve"> </w:t>
      </w:r>
      <w:r>
        <w:t xml:space="preserve">senescence, with natural leaf fall extending into January–February in</w:t>
      </w:r>
      <w:r>
        <w:t xml:space="preserve"> </w:t>
      </w:r>
      <w:r>
        <w:t xml:space="preserve">certain years, while budburst of the subsequent growth cycle generally</w:t>
      </w:r>
      <w:r>
        <w:t xml:space="preserve"> </w:t>
      </w:r>
      <w:r>
        <w:t xml:space="preserve">occurred in March–April. As a consequence, the dormancy period was</w:t>
      </w:r>
      <w:r>
        <w:t xml:space="preserve"> </w:t>
      </w:r>
      <w:r>
        <w:t xml:space="preserve">short and phenologically discontinuous (</w:t>
      </w:r>
      <w:hyperlink w:anchor="X6943187ac80dd2eec07635b544896e83686ebbc">
        <w:r>
          <w:rPr>
            <w:rStyle w:val="Hyperlink"/>
          </w:rPr>
          <w:t xml:space="preserve">Table</w:t>
        </w:r>
        <w:r>
          <w:rPr>
            <w:rStyle w:val="Hyperlink"/>
          </w:rPr>
          <w:t xml:space="preserve"> </w:t>
        </w:r>
        <w:r>
          <w:rPr>
            <w:rStyle w:val="Hyperlink"/>
          </w:rPr>
          <w:t xml:space="preserve">1</w:t>
        </w:r>
      </w:hyperlink>
      <w:r>
        <w:t xml:space="preserve">).</w:t>
      </w:r>
    </w:p>
    <w:p>
      <w:pPr>
        <w:pStyle w:val="Normal"/>
        <w:spacing w:line="480" w:lineRule="auto"/>
      </w:pPr>
      <w:r>
        <w:t xml:space="preserve">To reflect representative grape production systems in southern China,</w:t>
      </w:r>
      <w:r>
        <w:t xml:space="preserve"> </w:t>
      </w:r>
      <w:r>
        <w:t xml:space="preserve">each experimental site was planted with a locally widespread and</w:t>
      </w:r>
      <w:r>
        <w:t xml:space="preserve"> </w:t>
      </w:r>
      <w:r>
        <w:t xml:space="preserve">commonly cultivated variety:</w:t>
      </w:r>
      <w:r>
        <w:t xml:space="preserve"> </w:t>
      </w:r>
      <w:r>
        <w:t xml:space="preserve">‘Wink’</w:t>
      </w:r>
      <w:r>
        <w:t xml:space="preserve"> </w:t>
      </w:r>
      <w:r>
        <w:t xml:space="preserve">in Guilin,</w:t>
      </w:r>
      <w:r>
        <w:t xml:space="preserve"> </w:t>
      </w:r>
      <w:r>
        <w:t xml:space="preserve">‘Yeniang No. 2’</w:t>
      </w:r>
      <w:r>
        <w:t xml:space="preserve"> </w:t>
      </w:r>
      <w:r>
        <w:t xml:space="preserve">in Hechi,</w:t>
      </w:r>
      <w:r>
        <w:t xml:space="preserve"> </w:t>
      </w:r>
      <w:r>
        <w:t xml:space="preserve">and</w:t>
      </w:r>
      <w:r>
        <w:t xml:space="preserve"> </w:t>
      </w:r>
      <w:r>
        <w:t xml:space="preserve">‘Kyoho’</w:t>
      </w:r>
      <w:r>
        <w:t xml:space="preserve"> </w:t>
      </w:r>
      <w:r>
        <w:t xml:space="preserve">in Nanning. Detailed site characteristics, including</w:t>
      </w:r>
      <w:r>
        <w:t xml:space="preserve"> </w:t>
      </w:r>
      <w:r>
        <w:t xml:space="preserve">planting year, vine spacing, and cropping system (including the presence</w:t>
      </w:r>
      <w:r>
        <w:t xml:space="preserve"> </w:t>
      </w:r>
      <w:r>
        <w:t xml:space="preserve">or absence of secondary cropping), are summarized in</w:t>
      </w:r>
      <w:r>
        <w:t xml:space="preserve"> </w:t>
      </w:r>
      <w:hyperlink w:anchor="X6943187ac80dd2eec07635b544896e83686ebbc">
        <w:r>
          <w:rPr>
            <w:rStyle w:val="Hyperlink"/>
          </w:rPr>
          <w:t xml:space="preserve">Table 1</w:t>
        </w:r>
      </w:hyperlink>
      <w:r>
        <w:t xml:space="preserve">.</w:t>
      </w:r>
    </w:p>
    <w:p>
      <w:pPr>
        <w:pStyle w:val="Normal"/>
        <w:spacing w:line="480" w:lineRule="auto"/>
      </w:pPr>
      <w:r>
        <w:t xml:space="preserve">At each vineyard, two management treatments were established to</w:t>
      </w:r>
      <w:r>
        <w:t xml:space="preserve"> </w:t>
      </w:r>
      <w:r>
        <w:t xml:space="preserve">distinguish natural infection dynamics from management-modified disease</w:t>
      </w:r>
      <w:r>
        <w:t xml:space="preserve"> </w:t>
      </w:r>
      <w:r>
        <w:t xml:space="preserve">pressure: a traditional treatment (TT), in which fungicides were applied</w:t>
      </w:r>
      <w:r>
        <w:t xml:space="preserve"> </w:t>
      </w:r>
      <w:r>
        <w:t xml:space="preserve">following local management calendars, and a no-spray control (CK), in</w:t>
      </w:r>
      <w:r>
        <w:t xml:space="preserve"> </w:t>
      </w:r>
      <w:r>
        <w:t xml:space="preserve">which no fungicides were applied. A completely randomized design was</w:t>
      </w:r>
      <w:r>
        <w:t xml:space="preserve"> </w:t>
      </w:r>
      <w:r>
        <w:t xml:space="preserve">used, with three replicates per treatment, resulting in six observation</w:t>
      </w:r>
      <w:r>
        <w:t xml:space="preserve"> </w:t>
      </w:r>
      <w:r>
        <w:t xml:space="preserve">plots per vineyard. Each plot consisted of six uniformly growing vines,</w:t>
      </w:r>
      <w:r>
        <w:t xml:space="preserve"> </w:t>
      </w:r>
      <w:r>
        <w:t xml:space="preserve">which were used for subsequent phenological and disease monitoring.</w:t>
      </w:r>
    </w:p>
    <w:p>
      <w:pPr>
        <w:pStyle w:val="Normal"/>
        <w:spacing w:line="480" w:lineRule="auto"/>
      </w:pPr>
      <w:bookmarkStart w:id="18" w:name="X6943187ac80dd2eec07635b544896e83686ebbc"/>
      <w:bookmarkEnd w:id="18"/>
    </w:p>
    <w:p>
      <w:pPr>
        <w:pStyle w:val="TableCaption"/>
        <w:jc w:val="center"/>
        <w:ind w:left="0" w:hanging="0"/>
      </w:pPr>
      <w:r>
        <w:rPr>
          <w:rFonts w:ascii="Times New Roman" w:hAnsi="Times New Roman" w:eastAsia="Times New Roman" w:cs="Times New Roman"/>
          <w:sz w:val="20"/>
          <w:szCs w:val="20"/>
          <w:i/>
          <w:iCs/>
        </w:rPr>
        <w:t xml:space="preserve">Table 1. Characteristics of experimental vineyard sites in Guangxi, China.</w:t>
      </w:r>
    </w:p>
    <w:tbl>
      <w:tblPr>
        <w:tblStyle w:val="Table"/>
        <w:tblW w:type="pct" w:w="5000"/>
        <w:tblLook w:firstRow="1" w:lastRow="0" w:firstColumn="0" w:lastColumn="0" w:noHBand="0" w:noVBand="0" w:val="0020"/>
        <w:jc w:val="center"/>
        <w:tblBorders>
          <w:top w:val="single" w:sz="12" w:space="0" w:color="auto"/>
          <w:bottom w:val="single" w:sz="12" w:space="0" w:color="auto"/>
          <w:left w:val="nil"/>
          <w:right w:val="nil"/>
          <w:insideH w:val="nil"/>
          <w:insideV w:val="nil"/>
        </w:tblBorders>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City/County</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Lat, Lon</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Cultivar</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Leaf fall period</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Planting year</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Row</w:t>
            </w:r>
            <w:r>
              <w:rPr>
                <w:rFonts w:ascii="Times New Roman" w:hAnsi="Times New Roman" w:eastAsia="Times New Roman" w:cs="Times New Roman"/>
                <w:sz w:val="18"/>
                <w:szCs w:val="18"/>
                <w:b/>
                <w:bCs/>
              </w:rPr>
              <w:t xml:space="preserve"> </w:t>
            </w:r>
            <ns5:oMath>
              <ns5:r>
                <ns5:rPr>
                  <ns5:sty ns5:val="b"/>
                </ns5:rPr>
                <ns5:t> </ns5:t>
              </ns5:r>
              <ns5:r>
                <ns5:rPr>
                  <ns5:sty ns5:val="b"/>
                </ns5:rPr>
                <ns5:t>×</ns5:t>
              </ns5:r>
              <ns5:r>
                <ns5:rPr>
                  <ns5:sty ns5:val="b"/>
                </ns5:rPr>
                <ns5:t> </ns5:t>
              </ns5:r>
            </ns5:oMath>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rPr>
              <w:t xml:space="preserve">Spacing (m)</w:t>
            </w: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Xing’an, Guilin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25.45°N, 110.80°E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Wink (WK)</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December</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2018</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2.5</w:t>
            </w:r>
            <ns5:oMath>
              <ns5:r>
                <ns5:t> </ns5:t>
              </ns5:r>
              <ns5:r>
                <ns5:t> </ns5:t>
              </ns5:r>
              <ns5:r>
                <ns5:rPr>
                  <ns5:sty ns5:val="p"/>
                </ns5:rPr>
                <ns5:t>×</ns5:t>
              </ns5:r>
              <ns5:r>
                <ns5:t> </ns5:t>
              </ns5:r>
            </ns5:oMath>
            <w:r>
              <w:rPr>
                <w:rFonts w:ascii="Times New Roman" w:hAnsi="Times New Roman" w:eastAsia="Times New Roman" w:cs="Times New Roman"/>
                <w:sz w:val="18"/>
                <w:szCs w:val="18"/>
              </w:rPr>
              <w:t xml:space="preserve">2.5</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Du’an, 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23.83°N, 108.11°E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Yeniang No. 2 (MPT)</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February</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(following year)</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2015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2.5</w:t>
            </w:r>
            <ns5:oMath>
              <ns5:r>
                <ns5:t> </ns5:t>
              </ns5:r>
              <ns5:r>
                <ns5:rPr>
                  <ns5:sty ns5:val="p"/>
                </ns5:rPr>
                <ns5:t>×</ns5:t>
              </ns5:r>
              <ns5:r>
                <ns5:t> </ns5:t>
              </ns5:r>
            </ns5:oMath>
            <w:r>
              <w:rPr>
                <w:rFonts w:ascii="Times New Roman" w:hAnsi="Times New Roman" w:eastAsia="Times New Roman" w:cs="Times New Roman"/>
                <w:sz w:val="18"/>
                <w:szCs w:val="18"/>
              </w:rPr>
              <w:t xml:space="preserve">2.5</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Jiangnan, Nanning</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22.61°N, 108.23°E</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Kyoho (JF)</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January (following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year)</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2020</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3.2</w:t>
            </w:r>
            <w:r>
              <w:rPr>
                <w:rFonts w:ascii="Times New Roman" w:hAnsi="Times New Roman" w:eastAsia="Times New Roman" w:cs="Times New Roman"/>
                <w:sz w:val="18"/>
                <w:szCs w:val="18"/>
              </w:rPr>
              <w:t xml:space="preserve"> </w:t>
            </w:r>
            <ns5:oMath>
              <ns5:r>
                <ns5:t> </ns5:t>
              </ns5:r>
              <ns5:r>
                <ns5:rPr>
                  <ns5:sty ns5:val="p"/>
                </ns5:rPr>
                <ns5:t>×</ns5:t>
              </ns5:r>
              <ns5:r>
                <ns5:t> </ns5:t>
              </ns5:r>
            </ns5:oMath>
            <w:r>
              <w:rPr>
                <w:rFonts w:ascii="Times New Roman" w:hAnsi="Times New Roman" w:eastAsia="Times New Roman" w:cs="Times New Roman"/>
                <w:sz w:val="18"/>
                <w:szCs w:val="18"/>
              </w:rPr>
              <w:t xml:space="preserve">3.0</w:t>
            </w: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r>
    </w:tbl>
    <w:bookmarkStart w:id="22" w:name="Xf6aa8600996f8e17d787f9402e4a62c671c1344"/>
    <w:p>
      <w:pPr>
        <w:pStyle w:val="CaptionedFigure"/>
        <w:jc w:val="center"/>
      </w:pPr>
      <w:r>
        <w:drawing>
          <ns2:inline>
            <ns2:extent cx="5441315" cy="4247686"/>
            <ns2:effectExtent b="0" l="0" r="0" t="0"/>
            <ns2:docPr descr="" title="" id="20" name="Picture"/>
            <ns3:graphic>
              <ns3:graphicData uri="http://schemas.openxmlformats.org/drawingml/2006/picture">
                <ns4:pic>
                  <ns4:nvPicPr>
                    <ns4:cNvPr descr="fig/Figure_02.png" id="21" name="Picture"/>
                    <ns4:cNvPicPr>
                      <ns3:picLocks noChangeArrowheads="1" noChangeAspect="1"/>
                    </ns4:cNvPicPr>
                  </ns4:nvPicPr>
                  <ns4:blipFill>
                    <ns3:blip r:embed="rId19"/>
                    <ns3:stretch>
                      <ns3:fillRect/>
                    </ns3:stretch>
                  </ns4:blipFill>
                  <ns4:spPr bwMode="auto">
                    <ns3:xfrm>
                      <ns3:off x="0" y="0"/>
                      <ns3:ext cx="5441315" cy="4247686"/>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2. Study sites and field layout. (a) Location of Guangxi within China. (b) Spatial distribution of the three field experiment sites (Guilin, Hechi, and Nanning) in Guangxi Province; red circles indicate the locations of the experimental orchards. (c) Plot layout at the Du’an site in Hechi City, where black rectangles denote the three untreated control plots (CK).</w:t>
      </w:r>
    </w:p>
    <w:bookmarkEnd w:id="22"/>
    <w:bookmarkStart w:id="26" w:name="X1efb8c6a309e42b8504d22d6db41495b189c98c"/>
    <w:p>
      <w:pPr>
        <w:pStyle w:val="CaptionedFigure"/>
        <w:jc w:val="center"/>
      </w:pPr>
      <w:r>
        <w:drawing>
          <ns2:inline>
            <ns2:extent cx="5441315" cy="5566249"/>
            <ns2:effectExtent b="0" l="0" r="0" t="0"/>
            <ns2:docPr descr="" title="" id="24" name="Picture"/>
            <ns3:graphic>
              <ns3:graphicData uri="http://schemas.openxmlformats.org/drawingml/2006/picture">
                <ns4:pic>
                  <ns4:nvPicPr>
                    <ns4:cNvPr descr="paper/manuscript_eja_media/media/image3.png" id="25" name="Picture"/>
                    <ns4:cNvPicPr>
                      <ns3:picLocks noChangeArrowheads="1" noChangeAspect="1"/>
                    </ns4:cNvPicPr>
                  </ns4:nvPicPr>
                  <ns4:blipFill>
                    <ns3:blip r:embed="rId23"/>
                    <ns3:stretch>
                      <ns3:fillRect/>
                    </ns3:stretch>
                  </ns4:blipFill>
                  <ns4:spPr bwMode="auto">
                    <ns3:xfrm>
                      <ns3:off x="0" y="0"/>
                      <ns3:ext cx="5441315" cy="5566249"/>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3. Daily mean temperature, daily mean relative humidity, and daily rainfall recorded at the experimental vineyards in Hechi, Guilin, and Nanning during 2022–2024. The numerical values shown in each panel denote the 3-year means of the corresponding variable across all sites, providing an overview of the background meteorological conditions within the experimental region.</w:t>
      </w:r>
    </w:p>
    <w:bookmarkEnd w:id="26"/>
    <w:bookmarkEnd w:id="27"/>
    <w:bookmarkStart w:id="32" w:name="disease-and-phenology-data-collection"/>
    <w:p>
      <w:pPr>
        <w:pStyle w:val="Heading3"/>
      </w:pPr>
      <w:r>
        <w:t xml:space="preserve">Disease and phenology data</w:t>
      </w:r>
      <w:r>
        <w:t xml:space="preserve"> </w:t>
      </w:r>
      <w:r>
        <w:t xml:space="preserve">collection</w:t>
      </w:r>
    </w:p>
    <w:p>
      <w:pPr>
        <w:pStyle w:val="FirstParagraph"/>
        <w:spacing w:line="480" w:lineRule="auto"/>
      </w:pPr>
      <w:r>
        <w:t xml:space="preserve">Grapevine phenological development and downy mildew progression were</w:t>
      </w:r>
      <w:r>
        <w:t xml:space="preserve"> </w:t>
      </w:r>
      <w:r>
        <w:t xml:space="preserve">monitored throughout the growing season following a standardized field</w:t>
      </w:r>
      <w:r>
        <w:t xml:space="preserve"> </w:t>
      </w:r>
      <w:r>
        <w:t xml:space="preserve">observation protocol. All assessments were conducted in situ by trained</w:t>
      </w:r>
      <w:r>
        <w:t xml:space="preserve"> </w:t>
      </w:r>
      <w:r>
        <w:t xml:space="preserve">technicians and recorded using a dedicated WeChat-based mobile data</w:t>
      </w:r>
      <w:r>
        <w:t xml:space="preserve"> </w:t>
      </w:r>
      <w:r>
        <w:t xml:space="preserve">collection system (</w:t>
      </w:r>
      <w:r>
        <w:t xml:space="preserve">“Nong Qing Zhu Shou”</w:t>
      </w:r>
      <w:r>
        <w:t xml:space="preserve">), which provided structured</w:t>
      </w:r>
      <w:r>
        <w:t xml:space="preserve"> </w:t>
      </w:r>
      <w:r>
        <w:t xml:space="preserve">interfaces for extended BBCH coding, lesion annotation, automatic</w:t>
      </w:r>
      <w:r>
        <w:t xml:space="preserve"> </w:t>
      </w:r>
      <w:r>
        <w:t xml:space="preserve">time-stamping, GPS geolocation, and image capture. Records were uploaded</w:t>
      </w:r>
      <w:r>
        <w:t xml:space="preserve"> </w:t>
      </w:r>
      <w:r>
        <w:t xml:space="preserve">directly to a cloud database, allowing continuous checks of data</w:t>
      </w:r>
      <w:r>
        <w:t xml:space="preserve"> </w:t>
      </w:r>
      <w:r>
        <w:t xml:space="preserve">completeness and internal consistency.</w:t>
      </w:r>
    </w:p>
    <w:p>
      <w:pPr>
        <w:pStyle w:val="Normal"/>
        <w:spacing w:line="480" w:lineRule="auto"/>
      </w:pPr>
      <w:r>
        <w:t>Phenological development was recorded according to the extended BBCH</w:t>
      </w:r>
      <w:r>
        <w:t xml:space="preserve"> </w:t>
      </w:r>
      <w:r>
        <w:t>scale for grapevine (</w:t>
      </w:r>
      <w:hyperlink w:anchor="ref_lorenz_1995_31" w:history="1">
        <w:r>
          <w:rPr>
            <w:rStyle w:val="Hyperlink"/>
          </w:rPr>
          <w:t>Lorenz et al., 1995</w:t>
        </w:r>
      </w:hyperlink>
      <w:r>
        <w:t>), from BBCH 00 (dormancy) to</w:t>
      </w:r>
      <w:r>
        <w:t xml:space="preserve"> </w:t>
      </w:r>
      <w:r>
        <w:t>BBCH 99 (harvest). Observation frequency was adjusted according to</w:t>
      </w:r>
      <w:r>
        <w:t xml:space="preserve"> </w:t>
      </w:r>
      <w:r>
        <w:t>developmental stage: from BBCH 00 to BBCH 13 (dormancy to three unfolded</w:t>
      </w:r>
      <w:r>
        <w:t xml:space="preserve"> </w:t>
      </w:r>
      <w:r>
        <w:t>leaves), surveys were conducted weekly; thereafter, as vines entered the</w:t>
      </w:r>
      <w:r>
        <w:t xml:space="preserve"> </w:t>
      </w:r>
      <w:r>
        <w:t>susceptible period for downy mildew and meteorological conditions became</w:t>
      </w:r>
      <w:r>
        <w:t xml:space="preserve"> </w:t>
      </w:r>
      <w:r>
        <w:t>more favourable for infection, inspection frequency increased to once</w:t>
      </w:r>
      <w:r>
        <w:t xml:space="preserve"> </w:t>
      </w:r>
      <w:r>
        <w:t>every two days. In each observation plot, two vines were permanently</w:t>
      </w:r>
      <w:r>
        <w:t xml:space="preserve"> </w:t>
      </w:r>
      <w:r>
        <w:t>tagged as repeated observation units. Leaves along the main shoots were</w:t>
      </w:r>
      <w:r>
        <w:t xml:space="preserve"> </w:t>
      </w:r>
      <w:r>
        <w:t>systematically inspected from lower to upper canopy positions, with both</w:t>
      </w:r>
      <w:r>
        <w:t xml:space="preserve"> </w:t>
      </w:r>
      <w:r>
        <w:t>adaxial and abaxial surfaces inspected for characteristic symptoms.</w:t>
      </w:r>
    </w:p>
    <w:p>
      <w:pPr>
        <w:pStyle w:val="Normal"/>
        <w:spacing w:line="480" w:lineRule="auto"/>
      </w:pPr>
      <w:r>
        <w:t xml:space="preserve">When suspected lesions were observed, high-resolution images were</w:t>
      </w:r>
      <w:r>
        <w:t xml:space="preserve"> </w:t>
      </w:r>
      <w:r>
        <w:t xml:space="preserve">captured and centrally reviewed for confirmation. For each vineyard, the</w:t>
      </w:r>
      <w:r>
        <w:t xml:space="preserve"> </w:t>
      </w:r>
      <w:r>
        <w:t xml:space="preserve">calendar date on which the first oil spot was confirmed in any</w:t>
      </w:r>
      <w:r>
        <w:t xml:space="preserve"> </w:t>
      </w:r>
      <w:r>
        <w:t xml:space="preserve">observation plot was defined as the timing of first seasonal infection</w:t>
      </w:r>
      <w:r>
        <w:t xml:space="preserve"> </w:t>
      </w:r>
      <w:r>
        <w:t xml:space="preserve">(</w:t>
      </w:r>
      <w:hyperlink w:anchor="X68dff2146d9f83236d189f85937f4e5913d04fb">
        <w:r>
          <w:rPr>
            <w:rStyle w:val="Hyperlink"/>
          </w:rPr>
          <w:t xml:space="preserve">Fig 4b</w:t>
        </w:r>
      </w:hyperlink>
      <w:r>
        <w:t xml:space="preserve">). In addition to first seasonal</w:t>
      </w:r>
      <w:r>
        <w:t xml:space="preserve"> </w:t>
      </w:r>
      <w:r>
        <w:t xml:space="preserve">infection timing, disease incidence (proportion of symptomatic leaves)</w:t>
      </w:r>
      <w:r>
        <w:t xml:space="preserve"> </w:t>
      </w:r>
      <w:r>
        <w:t xml:space="preserve">and severity were subsequently assessed on the same tagged vines to</w:t>
      </w:r>
      <w:r>
        <w:t xml:space="preserve"> </w:t>
      </w:r>
      <w:r>
        <w:t xml:space="preserve">characterize seasonal disease development. For model development and</w:t>
      </w:r>
      <w:r>
        <w:t xml:space="preserve"> </w:t>
      </w:r>
      <w:r>
        <w:t xml:space="preserve">validation, only confirmed first seasonal infection dates were used,</w:t>
      </w:r>
      <w:r>
        <w:t xml:space="preserve"> </w:t>
      </w:r>
      <w:r>
        <w:t xml:space="preserve">whereas the full phenological and disease datasets were retained for</w:t>
      </w:r>
      <w:r>
        <w:t xml:space="preserve"> </w:t>
      </w:r>
      <w:r>
        <w:t xml:space="preserve">complementary analyses of within-season epidemic dynamics.</w:t>
      </w:r>
    </w:p>
    <w:bookmarkStart w:id="31" w:name="X68dff2146d9f83236d189f85937f4e5913d04fb"/>
    <w:p>
      <w:pPr>
        <w:pStyle w:val="CaptionedFigure"/>
        <w:jc w:val="center"/>
      </w:pPr>
      <w:r>
        <w:drawing>
          <ns2:inline>
            <ns2:extent cx="5154930" cy="2036376"/>
            <ns2:effectExtent b="0" l="0" r="0" t="0"/>
            <ns2:docPr descr="" title="" id="29" name="Picture"/>
            <ns3:graphic>
              <ns3:graphicData uri="http://schemas.openxmlformats.org/drawingml/2006/picture">
                <ns4:pic>
                  <ns4:nvPicPr>
                    <ns4:cNvPr descr="paper/manuscript_eja_media/media/image4.png" id="30" name="Picture"/>
                    <ns4:cNvPicPr>
                      <ns3:picLocks noChangeArrowheads="1" noChangeAspect="1"/>
                    </ns4:cNvPicPr>
                  </ns4:nvPicPr>
                  <ns4:blipFill>
                    <ns3:blip r:embed="rId28"/>
                    <ns3:stretch>
                      <ns3:fillRect/>
                    </ns3:stretch>
                  </ns4:blipFill>
                  <ns4:spPr bwMode="auto">
                    <ns3:xfrm>
                      <ns3:off x="0" y="0"/>
                      <ns3:ext cx="5154930" cy="2036376"/>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4. Downy mildew lesion emergence and development on Yeniang No. 2 (MPT) leaves in the Du’an experimental vineyard, Hechi. Panels show severity levels from a single-leaf perspective: (a) healthy; (b) 1% (post-incubation visible lesion); (c) 5%. Photos by team member Qi Tian (2023).</w:t>
      </w:r>
    </w:p>
    <w:bookmarkEnd w:id="31"/>
    <w:bookmarkEnd w:id="32"/>
    <w:bookmarkStart w:id="38" w:name="airborne-sporangia-monitoring"/>
    <w:p>
      <w:pPr>
        <w:pStyle w:val="Heading3"/>
      </w:pPr>
      <w:r>
        <w:t xml:space="preserve">Airborne sporangia</w:t>
      </w:r>
      <w:r>
        <w:t xml:space="preserve"> </w:t>
      </w:r>
      <w:r>
        <w:t xml:space="preserve">monitoring</w:t>
      </w:r>
    </w:p>
    <w:p>
      <w:pPr>
        <w:pStyle w:val="FirstParagraph"/>
        <w:spacing w:line="480" w:lineRule="auto"/>
      </w:pPr>
      <w:r>
        <w:t xml:space="preserve">At each vineyard, one passive spore trap (model TPBZ1, Zhejiang Top</w:t>
      </w:r>
      <w:r>
        <w:t xml:space="preserve"> </w:t>
      </w:r>
      <w:r>
        <w:t xml:space="preserve">Cloud-Agri Technology Co., Ltd., China) was installed adjacent to the</w:t>
      </w:r>
      <w:r>
        <w:t xml:space="preserve"> </w:t>
      </w:r>
      <w:r>
        <w:t xml:space="preserve">fungicide-free control (CK) plot to monitor the natural airborne</w:t>
      </w:r>
      <w:r>
        <w:t xml:space="preserve"> </w:t>
      </w:r>
      <w:r>
        <w:t xml:space="preserve">dispersal of</w:t>
      </w:r>
      <w:r>
        <w:t xml:space="preserve"> </w:t>
      </w:r>
      <w:r>
        <w:rPr>
          <w:i/>
          <w:iCs/>
        </w:rPr>
        <w:t xml:space="preserve">P. viticola</w:t>
      </w:r>
      <w:r>
        <w:t xml:space="preserve"> </w:t>
      </w:r>
      <w:r>
        <w:t xml:space="preserve">sporangia. Trap placement</w:t>
      </w:r>
      <w:r>
        <w:t xml:space="preserve"> </w:t>
      </w:r>
      <w:r>
        <w:t xml:space="preserve">avoided potential chemical interference, and the air inlet was</w:t>
      </w:r>
      <w:r>
        <w:t xml:space="preserve"> </w:t>
      </w:r>
      <w:r>
        <w:t xml:space="preserve">positioned approximately 1.5 m above ground level, corresponding to the</w:t>
      </w:r>
      <w:r>
        <w:t xml:space="preserve"> </w:t>
      </w:r>
      <w:r>
        <w:t xml:space="preserve">average grapevine canopy height.</w:t>
      </w:r>
    </w:p>
    <w:p>
      <w:pPr>
        <w:pStyle w:val="Normal"/>
        <w:spacing w:line="480" w:lineRule="auto"/>
      </w:pPr>
      <w:r>
        <w:t xml:space="preserve">Sporangia were collected on glass slides coated with a thin layer of</w:t>
      </w:r>
      <w:r>
        <w:t xml:space="preserve"> </w:t>
      </w:r>
      <w:r>
        <w:t xml:space="preserve">Vaseline, which were replaced every two days. Samples were sealed and</w:t>
      </w:r>
      <w:r>
        <w:t xml:space="preserve"> </w:t>
      </w:r>
      <w:r>
        <w:t xml:space="preserve">transported to the laboratory of the Guangxi Academy of Agricultural</w:t>
      </w:r>
      <w:r>
        <w:t xml:space="preserve"> </w:t>
      </w:r>
      <w:r>
        <w:t xml:space="preserve">Sciences for quantitative analysis. To improve counting accuracy, two</w:t>
      </w:r>
      <w:r>
        <w:t xml:space="preserve"> </w:t>
      </w:r>
      <w:r>
        <w:t xml:space="preserve">microscopic observation procedures were applied: (i) direct imaging, in</w:t>
      </w:r>
      <w:r>
        <w:t xml:space="preserve"> </w:t>
      </w:r>
      <w:r>
        <w:t xml:space="preserve">which untreated slides were examined directly under a microscope</w:t>
      </w:r>
      <w:r>
        <w:t xml:space="preserve"> </w:t>
      </w:r>
      <w:r>
        <w:t xml:space="preserve">(</w:t>
      </w:r>
      <w:hyperlink w:anchor="Xe6e679311f335389e47f354d0dda93b5fedceaa">
        <w:r>
          <w:rPr>
            <w:rStyle w:val="Hyperlink"/>
          </w:rPr>
          <w:t xml:space="preserve">Fig 5b–d</w:t>
        </w:r>
      </w:hyperlink>
      <w:r>
        <w:t xml:space="preserve">); and (ii) wash imaging, in which</w:t>
      </w:r>
      <w:r>
        <w:t xml:space="preserve"> </w:t>
      </w:r>
      <w:r>
        <w:t xml:space="preserve">each slide was rinsed with 300</w:t>
      </w:r>
      <w:r>
        <w:t xml:space="preserve"> </w:t>
      </w:r>
      <ns5:oMath>
        <ns5:r>
          <ns5:t>μ</ns5:t>
        </ns5:r>
      </ns5:oMath>
      <w:r>
        <w:t xml:space="preserve">L of sterile water, and five 30</w:t>
      </w:r>
      <w:r>
        <w:t xml:space="preserve"> </w:t>
      </w:r>
      <ns5:oMath>
        <ns5:r>
          <ns5:t>μ</ns5:t>
        </ns5:r>
      </ns5:oMath>
      <w:r>
        <w:t xml:space="preserve">L</w:t>
      </w:r>
      <w:r>
        <w:t xml:space="preserve"> </w:t>
      </w:r>
      <w:r>
        <w:t xml:space="preserve">subsamples were collected from different depths of the rinse solution to</w:t>
      </w:r>
      <w:r>
        <w:t xml:space="preserve"> </w:t>
      </w:r>
      <w:r>
        <w:t xml:space="preserve">minimize bias associated with particle sedimentation</w:t>
      </w:r>
      <w:r>
        <w:t xml:space="preserve"> </w:t>
      </w:r>
      <w:r>
        <w:t xml:space="preserve">(</w:t>
      </w:r>
      <w:hyperlink w:anchor="Xe6e679311f335389e47f354d0dda93b5fedceaa">
        <w:r>
          <w:rPr>
            <w:rStyle w:val="Hyperlink"/>
          </w:rPr>
          <w:t xml:space="preserve">Fig 5b–d</w:t>
        </w:r>
      </w:hyperlink>
      <w:r>
        <w:t xml:space="preserve">). Subsamples were transferred to</w:t>
      </w:r>
      <w:r>
        <w:t xml:space="preserve"> </w:t>
      </w:r>
      <w:r>
        <w:t xml:space="preserve">concave glass slides for microscopic observation and imaging.</w:t>
      </w:r>
    </w:p>
    <w:p>
      <w:pPr>
        <w:pStyle w:val="Normal"/>
        <w:spacing w:line="480" w:lineRule="auto"/>
      </w:pPr>
      <w:r>
        <w:t>Images obtained from wash imaging were processed using a sporangia</w:t>
      </w:r>
      <w:r>
        <w:t xml:space="preserve"> </w:t>
      </w:r>
      <w:r>
        <w:t>recognition platform developed by our research team</w:t>
      </w:r>
      <w:r>
        <w:t xml:space="preserve"> </w:t>
      </w:r>
      <w:r>
        <w:t>(</w:t>
      </w:r>
      <w:hyperlink r:id="rId33" w:history="1">
        <w:r>
          <w:rPr>
            <w:rStyle w:val="Hyperlink"/>
          </w:rPr>
          <w:t>http://116.10.197.212:9060/spore/#/</w:t>
        </w:r>
      </w:hyperlink>
      <w:r>
        <w:t>) to support efficient</w:t>
      </w:r>
      <w:r>
        <w:t xml:space="preserve"> </w:t>
      </w:r>
      <w:r>
        <w:t>screening and counting. The platform uses a detection model trained for</w:t>
      </w:r>
      <w:r>
        <w:t xml:space="preserve"> </w:t>
      </w:r>
      <w:r>
        <w:rPr>
          <w:i/>
          <w:iCs/>
        </w:rPr>
        <w:t>P. viticola</w:t>
      </w:r>
      <w:r>
        <w:t xml:space="preserve"> </w:t>
      </w:r>
      <w:r>
        <w:t>sporangia recognition (</w:t>
      </w:r>
      <w:hyperlink w:anchor="ref_yan_2024_55" w:history="1">
        <w:r>
          <w:rPr>
            <w:rStyle w:val="Hyperlink"/>
          </w:rPr>
          <w:t>Yan et al., 2024</w:t>
        </w:r>
      </w:hyperlink>
      <w:r>
        <w:t>). Because</w:t>
      </w:r>
      <w:r>
        <w:t xml:space="preserve"> </w:t>
      </w:r>
      <w:r>
        <w:t>the present study focuses on field-based inoculum monitoring and</w:t>
      </w:r>
      <w:r>
        <w:t xml:space="preserve"> </w:t>
      </w:r>
      <w:r>
        <w:t>agroclimatic disease modelling rather than image-analysis development,</w:t>
      </w:r>
      <w:r>
        <w:t xml:space="preserve"> </w:t>
      </w:r>
      <w:r>
        <w:t>all automatically detected results were independently verified by two</w:t>
      </w:r>
      <w:r>
        <w:t xml:space="preserve"> </w:t>
      </w:r>
      <w:r>
        <w:t>trained laboratory technicians before being used in model calibration and</w:t>
      </w:r>
      <w:r>
        <w:t xml:space="preserve"> </w:t>
      </w:r>
      <w:r>
        <w:t>validation (</w:t>
      </w:r>
      <w:hyperlink w:anchor="Xe6e679311f335389e47f354d0dda93b5fedceaa" w:history="1">
        <w:r>
          <w:rPr>
            <w:rStyle w:val="Hyperlink"/>
          </w:rPr>
          <w:t>Fig 5c</w:t>
        </w:r>
      </w:hyperlink>
      <w:r>
        <w:t>).</w:t>
      </w:r>
    </w:p>
    <w:bookmarkStart w:id="37" w:name="Xe6e679311f335389e47f354d0dda93b5fedceaa"/>
    <w:p>
      <w:pPr>
        <w:pStyle w:val="CaptionedFigure"/>
        <w:jc w:val="center"/>
      </w:pPr>
      <w:r>
        <w:drawing>
          <ns2:inline>
            <ns2:extent cx="5441315" cy="4450599"/>
            <ns2:effectExtent b="0" l="0" r="0" t="0"/>
            <ns2:docPr descr="" title="" id="35" name="Picture"/>
            <ns3:graphic>
              <ns3:graphicData uri="http://schemas.openxmlformats.org/drawingml/2006/picture">
                <ns4:pic>
                  <ns4:nvPicPr>
                    <ns4:cNvPr descr="paper/manuscript_eja_media/media/image5.png" id="36" name="Picture"/>
                    <ns4:cNvPicPr>
                      <ns3:picLocks noChangeArrowheads="1" noChangeAspect="1"/>
                    </ns4:cNvPicPr>
                  </ns4:nvPicPr>
                  <ns4:blipFill>
                    <ns3:blip r:embed="rId34"/>
                    <ns3:stretch>
                      <ns3:fillRect/>
                    </ns3:stretch>
                  </ns4:blipFill>
                  <ns4:spPr bwMode="auto">
                    <ns3:xfrm>
                      <ns3:off x="0" y="0"/>
                      <ns3:ext cx="5441315" cy="4450599"/>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5. Schematic illustration of sporangia collection and processing in the vineyard experiment. (a) Schematic of dynamic monitoring of sporangia; (b) schematic of laboratory preprocessing; (c) schematic of sporangia image and quantity acquisition; (d) representative sporangia images obtained from the untreated sporangia slide and the washed sporangia slide.</w:t>
      </w:r>
    </w:p>
    <w:bookmarkEnd w:id="37"/>
    <w:bookmarkEnd w:id="38"/>
    <w:bookmarkStart w:id="40" w:name="meteorological-data"/>
    <w:p>
      <w:pPr>
        <w:pStyle w:val="Heading3"/>
      </w:pPr>
      <w:r>
        <w:t xml:space="preserve">Meteorological data</w:t>
      </w:r>
    </w:p>
    <w:p>
      <w:pPr>
        <w:pStyle w:val="FirstParagraph"/>
        <w:spacing w:line="480" w:lineRule="auto"/>
      </w:pPr>
      <w:r>
        <w:t>Meteorological data were retrieved from the Open-Meteo platform</w:t>
      </w:r>
      <w:r>
        <w:t xml:space="preserve"> </w:t>
      </w:r>
      <w:r>
        <w:t>(</w:t>
      </w:r>
      <w:hyperlink r:id="rId39" w:history="1">
        <w:r>
          <w:rPr>
            <w:rStyle w:val="Hyperlink"/>
            <w:u w:val="single"/>
          </w:rPr>
          <w:t>https://open-meteo.com/</w:t>
        </w:r>
      </w:hyperlink>
      <w:r>
        <w:t>), which</w:t>
      </w:r>
      <w:r>
        <w:t xml:space="preserve"> </w:t>
      </w:r>
      <w:r>
        <w:t>provides ERA5 reanalysis products with hourly temporal resolution</w:t>
      </w:r>
      <w:r>
        <w:t xml:space="preserve"> </w:t>
      </w:r>
      <w:r>
        <w:t>(</w:t>
      </w:r>
      <w:hyperlink w:anchor="ref_hersbach_2020_19" w:history="1">
        <w:r>
          <w:rPr>
            <w:rStyle w:val="Hyperlink"/>
          </w:rPr>
          <w:t>Hersbach et al., 2020</w:t>
        </w:r>
      </w:hyperlink>
      <w:r>
        <w:t>). For each experimental orchard, geographic</w:t>
      </w:r>
      <w:r>
        <w:t xml:space="preserve"> </w:t>
      </w:r>
      <w:r>
        <w:t>coordinates were used to extract site-specific time series of air</w:t>
      </w:r>
      <w:r>
        <w:t xml:space="preserve"> </w:t>
      </w:r>
      <w:r>
        <w:t>temperature (T), relative humidity (RH), and precipitation (R). To meet</w:t>
      </w:r>
      <w:r>
        <w:t xml:space="preserve"> </w:t>
      </w:r>
      <w:r>
        <w:t>the requirements of the disease prediction model, additional</w:t>
      </w:r>
      <w:r>
        <w:t xml:space="preserve"> </w:t>
      </w:r>
      <w:r>
        <w:t>variables—including vapor pressure deficit (VPD) and leaf wetness</w:t>
      </w:r>
      <w:r>
        <w:t xml:space="preserve"> </w:t>
      </w:r>
      <w:r>
        <w:t>duration (LWD)—were derived from temperature and humidity data using</w:t>
      </w:r>
      <w:r>
        <w:t xml:space="preserve"> </w:t>
      </w:r>
      <w:r>
        <w:t xml:space="preserve">the established formulations described by </w:t>
      </w:r>
      <w:hyperlink w:anchor="ref_rossi_2008_43" w:history="1">
        <w:r>
          <w:rPr>
            <w:rStyle w:val="Hyperlink"/>
          </w:rPr>
          <w:t>Rossi et al. (2008)</w:t>
        </w:r>
      </w:hyperlink>
      <w:r>
        <w:t>.</w:t>
      </w:r>
    </w:p>
    <w:bookmarkEnd w:id="40"/>
    <w:bookmarkEnd w:id="41"/>
    <w:bookmarkStart w:id="48" w:name="model-structure-and-refinements"/>
    <w:p>
      <w:pPr>
        <w:pStyle w:val="Heading2"/>
      </w:pPr>
      <w:r>
        <w:t xml:space="preserve">Model structure and</w:t>
      </w:r>
      <w:r>
        <w:t xml:space="preserve"> </w:t>
      </w:r>
      <w:r>
        <w:t xml:space="preserve">refinements</w:t>
      </w:r>
    </w:p>
    <w:bookmarkStart w:id="42" w:name="X24bb838c5ee5cc86ed7cca7230d6cb20108be7d"/>
    <w:p>
      <w:pPr>
        <w:pStyle w:val="Heading3"/>
      </w:pPr>
      <w:r>
        <w:t xml:space="preserve">First Seasonal Infection Model (FSIM): baseline</w:t>
      </w:r>
      <w:r>
        <w:t xml:space="preserve"> </w:t>
      </w:r>
      <w:r>
        <w:t xml:space="preserve">mechanistic</w:t>
      </w:r>
      <w:r>
        <w:t xml:space="preserve"> </w:t>
      </w:r>
      <w:r>
        <w:t xml:space="preserve">framework</w:t>
      </w:r>
    </w:p>
    <w:p>
      <w:pPr>
        <w:pStyle w:val="FirstParagraph"/>
        <w:spacing w:line="480" w:lineRule="auto"/>
      </w:pPr>
      <w:r>
        <w:t xml:space="preserve">In this study, the first visible infection event of a new growing</w:t>
      </w:r>
      <w:r>
        <w:t xml:space="preserve"> </w:t>
      </w:r>
      <w:r>
        <w:t xml:space="preserve">season, primarily driven by asexual sporangia, is defined as the</w:t>
      </w:r>
      <w:r>
        <w:t xml:space="preserve"> </w:t>
      </w:r>
      <w:r>
        <w:t xml:space="preserve">“First</w:t>
      </w:r>
      <w:r>
        <w:t xml:space="preserve"> </w:t>
      </w:r>
      <w:r>
        <w:t xml:space="preserve">Seasonal Infection”</w:t>
      </w:r>
      <w:r>
        <w:t xml:space="preserve"> </w:t>
      </w:r>
      <w:r>
        <w:t xml:space="preserve">event (Fig. S2). Based on</w:t>
      </w:r>
      <w:r>
        <w:t xml:space="preserve"> </w:t>
      </w:r>
      <w:r>
        <w:t xml:space="preserve">this epidemiological context, a</w:t>
      </w:r>
      <w:r>
        <w:t xml:space="preserve"> </w:t>
      </w:r>
      <w:r>
        <w:rPr>
          <w:i/>
          <w:iCs/>
        </w:rPr>
        <w:t xml:space="preserve">First Seasonal Infection Model</w:t>
      </w:r>
      <w:r>
        <w:t xml:space="preserve"> </w:t>
      </w:r>
      <w:r>
        <w:t xml:space="preserve">(FSIM) was developed to simulate the timing of initial infection events</w:t>
      </w:r>
      <w:r>
        <w:t xml:space="preserve"> </w:t>
      </w:r>
      <w:r>
        <w:t xml:space="preserve">in subtropical vineyards in Guangxi, China.</w:t>
      </w:r>
    </w:p>
    <w:p>
      <w:pPr>
        <w:pStyle w:val="Normal"/>
        <w:spacing w:line="480" w:lineRule="auto"/>
      </w:pPr>
      <w:r>
        <w:t>Unlike conventional primary infection models that typically initiate</w:t>
      </w:r>
      <w:r>
        <w:t xml:space="preserve"> </w:t>
      </w:r>
      <w:r>
        <w:t>simulations on January 1, the present study used BBCH53 (flowering</w:t>
      </w:r>
      <w:r>
        <w:t xml:space="preserve"> </w:t>
      </w:r>
      <w:r>
        <w:t>stage) of the new growing season as the simulation starting point under</w:t>
      </w:r>
      <w:r>
        <w:t xml:space="preserve"> </w:t>
      </w:r>
      <w:r>
        <w:t>subtropical conditions (</w:t>
      </w:r>
      <w:hyperlink w:anchor="ref_hui_2022_24" w:history="1">
        <w:r>
          <w:rPr>
            <w:rStyle w:val="Hyperlink"/>
          </w:rPr>
          <w:t>Hui et al., 2022</w:t>
        </w:r>
      </w:hyperlink>
      <w:r>
        <w:t>). BBCH53 dates were obtained</w:t>
      </w:r>
      <w:r>
        <w:t xml:space="preserve"> </w:t>
      </w:r>
      <w:r>
        <w:t>from field phenological observations and applied as a temporal gating</w:t>
      </w:r>
      <w:r>
        <w:t xml:space="preserve"> </w:t>
      </w:r>
      <w:r>
        <w:t>condition to define the onset of infection simulations.</w:t>
      </w:r>
    </w:p>
    <w:p>
      <w:pPr>
        <w:pStyle w:val="Normal"/>
        <w:spacing w:line="480" w:lineRule="auto"/>
      </w:pPr>
      <w:r>
        <w:t>The FSIM was constructed through structural integration and process</w:t>
      </w:r>
      <w:r>
        <w:t xml:space="preserve"> </w:t>
      </w:r>
      <w:r>
        <w:t>reorganization of the Rossi primary infection model and secondary</w:t>
      </w:r>
      <w:r>
        <w:t xml:space="preserve"> </w:t>
      </w:r>
      <w:r>
        <w:t>infection risk frameworks (</w:t>
      </w:r>
      <w:hyperlink w:anchor="ref_brischetto_2021_5" w:history="1">
        <w:r>
          <w:rPr>
            <w:rStyle w:val="Hyperlink"/>
          </w:rPr>
          <w:t>Brischetto et al., 2021</w:t>
        </w:r>
      </w:hyperlink>
      <w:r>
        <w:t xml:space="preserve">; </w:t>
      </w:r>
      <w:hyperlink w:anchor="ref_rossi_2008_43" w:history="1">
        <w:r>
          <w:rPr>
            <w:rStyle w:val="Hyperlink"/>
          </w:rPr>
          <w:t>Rossi et al., 2008</w:t>
        </w:r>
      </w:hyperlink>
      <w:r>
        <w:t>).</w:t>
      </w:r>
    </w:p>
    <w:p>
      <w:pPr>
        <w:pStyle w:val="Normal"/>
        <w:spacing w:line="480" w:lineRule="auto"/>
      </w:pPr>
      <w:r>
        <w:t xml:space="preserve">Infection-development processes retained from the Rossi model include</w:t>
      </w:r>
      <w:r>
        <w:t xml:space="preserve"> </w:t>
      </w:r>
      <w:r>
        <w:t xml:space="preserve">zoospore release and survival, infection establishment, incubation, and</w:t>
      </w:r>
      <w:r>
        <w:t xml:space="preserve"> </w:t>
      </w:r>
      <w:r>
        <w:t xml:space="preserve">symptom expression, which constitute the mechanistic backbone of the</w:t>
      </w:r>
      <w:r>
        <w:t xml:space="preserve"> </w:t>
      </w:r>
      <w:r>
        <w:t xml:space="preserve">infection chain. The secondary infection risk module was positioned</w:t>
      </w:r>
      <w:r>
        <w:t xml:space="preserve"> </w:t>
      </w:r>
      <w:r>
        <w:t xml:space="preserve">upstream to describe the production of sporangia, followed by the</w:t>
      </w:r>
      <w:r>
        <w:t xml:space="preserve"> </w:t>
      </w:r>
      <w:r>
        <w:t xml:space="preserve">infection chain derived from the Rossi model, including zoospore release</w:t>
      </w:r>
      <w:r>
        <w:t xml:space="preserve"> </w:t>
      </w:r>
      <w:r>
        <w:t xml:space="preserve">and survival, infection establishment, incubation, and symptom</w:t>
      </w:r>
      <w:r>
        <w:t xml:space="preserve"> </w:t>
      </w:r>
      <w:r>
        <w:t xml:space="preserve">expression. In this restructuring, the probability-accumulation</w:t>
      </w:r>
      <w:r>
        <w:t xml:space="preserve"> </w:t>
      </w:r>
      <w:r>
        <w:t xml:space="preserve">formulation of the original secondary infection model was reformulated</w:t>
      </w:r>
      <w:r>
        <w:t xml:space="preserve"> </w:t>
      </w:r>
      <w:r>
        <w:t xml:space="preserve">into a cohort-based representation describing spore production,</w:t>
      </w:r>
      <w:r>
        <w:t xml:space="preserve"> </w:t>
      </w:r>
      <w:r>
        <w:t xml:space="preserve">accumulation, depletion, and release. Dispersal mechanisms were</w:t>
      </w:r>
      <w:r>
        <w:t xml:space="preserve"> </w:t>
      </w:r>
      <w:r>
        <w:t xml:space="preserve">distinguished into rainfall-driven and wind-driven pathways. Apart from</w:t>
      </w:r>
      <w:r>
        <w:t xml:space="preserve"> </w:t>
      </w:r>
      <w:r>
        <w:t xml:space="preserve">process reordering and structural adjustments, the original mathematical</w:t>
      </w:r>
      <w:r>
        <w:t xml:space="preserve"> </w:t>
      </w:r>
      <w:r>
        <w:t xml:space="preserve">formulations were retained where applicable.</w:t>
      </w:r>
    </w:p>
    <w:p>
      <w:pPr>
        <w:pStyle w:val="Normal"/>
        <w:spacing w:line="480" w:lineRule="auto"/>
      </w:pPr>
      <w:r>
        <w:t xml:space="preserve">To represent dispersal dynamics, a cohort-based dispersal–deposition</w:t>
      </w:r>
      <w:r>
        <w:t xml:space="preserve"> </w:t>
      </w:r>
      <w:r>
        <w:t xml:space="preserve">mechanism was introduced (Rossi et al., 2008). The model first updates</w:t>
      </w:r>
      <w:r>
        <w:t xml:space="preserve"> </w:t>
      </w:r>
      <w:r>
        <w:t xml:space="preserve">the attached sporangia pool</w:t>
      </w:r>
      <w:r>
        <w:t xml:space="preserve"> </w:t>
      </w:r>
      <ns5:oMath>
        <ns5:sSub>
          <ns5:e>
            <ns5:r>
              <ns5:t>A</ns5:t>
            </ns5:r>
          </ns5:e>
          <ns5:sub>
            <ns5:r>
              <ns5:t>t</ns5:t>
            </ns5:r>
          </ns5:sub>
        </ns5:sSub>
      </ns5:oMath>
      <w:r>
        <w:t xml:space="preserve">, which decays during daytime as a</w:t>
      </w:r>
      <w:r>
        <w:t xml:space="preserve"> </w:t>
      </w:r>
      <w:r>
        <w:t xml:space="preserve">function of vapor pressure deficit (VPD). When</w:t>
      </w:r>
      <w:r>
        <w:t xml:space="preserve"> </w:t>
      </w:r>
      <ns5:oMath>
        <ns5:sSub>
          <ns5:e>
            <ns5:r>
              <ns5:t>A</ns5:t>
            </ns5:r>
          </ns5:e>
          <ns5:sub>
            <ns5:r>
              <ns5:t>t</ns5:t>
            </ns5:r>
          </ns5:sub>
        </ns5:sSub>
      </ns5:oMath>
      <w:r>
        <w:t xml:space="preserve"> </w:t>
      </w:r>
      <w:r>
        <w:t xml:space="preserve">falls below a</w:t>
      </w:r>
      <w:r>
        <w:t xml:space="preserve"> </w:t>
      </w:r>
      <w:r>
        <w:t xml:space="preserve">minimum threshold</w:t>
      </w:r>
      <w:r>
        <w:t xml:space="preserve"> </w:t>
      </w:r>
      <ns5:oMath>
        <ns5:sSub>
          <ns5:e>
            <ns5:r>
              <ns5:t>A</ns5:t>
            </ns5:r>
          </ns5:e>
          <ns5:sub>
            <ns5:r>
              <ns5:rPr>
                <ns5:sty ns5:val="p"/>
              </ns5:rPr>
              <ns5:t>min</ns5:t>
            </ns5:r>
          </ns5:sub>
        </ns5:sSub>
      </ns5:oMath>
      <w:r>
        <w:t xml:space="preserve">, no dispersal occurs. A dispersal event</w:t>
      </w:r>
      <w:r>
        <w:t xml:space="preserve"> </w:t>
      </w:r>
      <w:r>
        <w:t xml:space="preserve">is triggered when hourly rainfall</w:t>
      </w:r>
      <w:r>
        <w:t xml:space="preserve"> </w:t>
      </w:r>
      <ns5:oMath>
        <ns5:sSub>
          <ns5:e>
            <ns5:r>
              <ns5:t>R</ns5:t>
            </ns5:r>
          </ns5:e>
          <ns5:sub>
            <ns5:r>
              <ns5:t>t</ns5:t>
            </ns5:r>
          </ns5:sub>
        </ns5:sSub>
      </ns5:oMath>
      <w:r>
        <w:t xml:space="preserve"> </w:t>
      </w:r>
      <w:r>
        <w:t xml:space="preserve">exceeds the rainfall</w:t>
      </w:r>
      <w:r>
        <w:t xml:space="preserve"> </w:t>
      </w:r>
      <w:r>
        <w:t xml:space="preserve">threshold</w:t>
      </w:r>
      <w:r>
        <w:t xml:space="preserve"> </w:t>
      </w:r>
      <ns5:oMath>
        <ns5:sSub>
          <ns5:e>
            <ns5:r>
              <ns5:t>R</ns5:t>
            </ns5:r>
          </ns5:e>
          <ns5:sub>
            <ns5:r>
              <ns5:rPr>
                <ns5:sty ns5:val="p"/>
              </ns5:rPr>
              <ns5:t>min</ns5:t>
            </ns5:r>
          </ns5:sub>
        </ns5:sSub>
      </ns5:oMath>
      <w:r>
        <w:t xml:space="preserve"> </w:t>
      </w:r>
      <w:r>
        <w:t xml:space="preserve">or wind speed</w:t>
      </w:r>
      <w:r>
        <w:t xml:space="preserve"> </w:t>
      </w:r>
      <ns5:oMath>
        <ns5:sSub>
          <ns5:e>
            <ns5:r>
              <ns5:t>W</ns5:t>
            </ns5:r>
          </ns5:e>
          <ns5:sub>
            <ns5:r>
              <ns5:t>t</ns5:t>
            </ns5:r>
          </ns5:sub>
        </ns5:sSub>
      </ns5:oMath>
      <w:r>
        <w:t xml:space="preserve"> </w:t>
      </w:r>
      <w:r>
        <w:t xml:space="preserve">exceeds the wind</w:t>
      </w:r>
      <w:r>
        <w:t xml:space="preserve"> </w:t>
      </w:r>
      <w:r>
        <w:t xml:space="preserve">threshold</w:t>
      </w:r>
      <w:r>
        <w:t xml:space="preserve"> </w:t>
      </w:r>
      <ns5:oMath>
        <ns5:sSub>
          <ns5:e>
            <ns5:r>
              <ns5:t>W</ns5:t>
            </ns5:r>
          </ns5:e>
          <ns5:sub>
            <ns5:r>
              <ns5:rPr>
                <ns5:sty ns5:val="p"/>
              </ns5:rPr>
              <ns5:t>min</ns5:t>
            </ns5:r>
          </ns5:sub>
        </ns5:sSub>
      </ns5:oMath>
      <w:r>
        <w:t xml:space="preserve">. A single dispersal event is assumed to fully</w:t>
      </w:r>
      <w:r>
        <w:t xml:space="preserve"> </w:t>
      </w:r>
      <w:r>
        <w:t xml:space="preserve">transfer the attached sporangia pool into the airborne compartment:</w:t>
      </w:r>
    </w:p>
    <w:p>
      <w:pPr>
        <w:pStyle w:val="Normal"/>
        <w:spacing w:line="480" w:lineRule="auto"/>
        <w:tabs>
          <w:tab w:val="center" w:pos="4680"/>
          <w:tab w:val="right" w:pos="9360"/>
        </w:tabs>
        <w:jc w:val="left"/>
      </w:pPr>
      <w:r>
        <w:tab/>
      </w:r>
      <ns5:oMath>
        <ns5:sSub>
          <ns5:e>
            <ns5:r>
              <ns5:t>B</ns5:t>
            </ns5:r>
          </ns5:e>
          <ns5:sub>
            <ns5:sSub>
              <ns5:e>
                <ns5:r>
                  <ns5:t>t</ns5:t>
                </ns5:r>
              </ns5:e>
              <ns5:sub>
                <ns5:r>
                  <ns5:t>0</ns5:t>
                </ns5:r>
              </ns5:sub>
            </ns5:sSub>
          </ns5:sub>
        </ns5:sSub>
        <ns5:r>
          <ns5:rPr>
            <ns5:sty ns5:val="p"/>
          </ns5:rPr>
          <ns5:t>=</ns5:t>
        </ns5:r>
        <ns5:sSub>
          <ns5:e>
            <ns5:r>
              <ns5:t>A</ns5:t>
            </ns5:r>
          </ns5:e>
          <ns5:sub>
            <ns5:sSub>
              <ns5:e>
                <ns5:r>
                  <ns5:t>t</ns5:t>
                </ns5:r>
              </ns5:e>
              <ns5:sub>
                <ns5:r>
                  <ns5:t>0</ns5:t>
                </ns5:r>
              </ns5:sub>
            </ns5:sSub>
          </ns5:sub>
        </ns5:sSub>
        <ns5:r>
          <ns5:rPr>
            <ns5:sty ns5:val="p"/>
          </ns5:rPr>
          <ns5:t>,</ns5:t>
        </ns5:r>
        <ns5:r>
          <ns5:t> </ns5:t>
        </ns5:r>
        <ns5:sSub>
          <ns5:e>
            <ns5:r>
              <ns5:t>A</ns5:t>
            </ns5:r>
          </ns5:e>
          <ns5:sub>
            <ns5:sSub>
              <ns5:e>
                <ns5:r>
                  <ns5:t>t</ns5:t>
                </ns5:r>
              </ns5:e>
              <ns5:sub>
                <ns5:r>
                  <ns5:t>0</ns5:t>
                </ns5:r>
              </ns5:sub>
            </ns5:sSub>
          </ns5:sub>
        </ns5:sSub>
        <ns5:r>
          <ns5:rPr>
            <ns5:sty ns5:val="p"/>
          </ns5:rPr>
          <ns5:t>→</ns5:t>
        </ns5:r>
        <ns5:r>
          <ns5:t>0</ns5:t>
        </ns5:r>
      </ns5:oMath>
      <w:r>
        <w:tab/>
      </w:r>
      <w:r>
        <w:rPr>
          <w:rFonts w:ascii="Times New Roman" w:hAnsi="Times New Roman" w:eastAsia="Times New Roman" w:cs="Times New Roman"/>
          <w:sz w:val="24"/>
          <w:szCs w:val="24"/>
        </w:rPr>
        <w:t>(1)</w:t>
      </w:r>
    </w:p>
    <w:p>
      <w:pPr>
        <w:pStyle w:val="FirstParagraph"/>
        <w:spacing w:line="480" w:lineRule="auto"/>
      </w:pPr>
      <w:r>
        <w:t xml:space="preserve">where</w:t>
      </w:r>
      <w:r>
        <w:t xml:space="preserve"> </w:t>
      </w:r>
      <ns5:oMath>
        <ns5:sSub>
          <ns5:e>
            <ns5:r>
              <ns5:t>t</ns5:t>
            </ns5:r>
          </ns5:e>
          <ns5:sub>
            <ns5:r>
              <ns5:t>0</ns5:t>
            </ns5:r>
          </ns5:sub>
        </ns5:sSub>
      </ns5:oMath>
      <w:r>
        <w:t xml:space="preserve"> </w:t>
      </w:r>
      <w:r>
        <w:t xml:space="preserve">denotes the dispersal time and</w:t>
      </w:r>
      <w:r>
        <w:t xml:space="preserve"> </w:t>
      </w:r>
      <ns5:oMath>
        <ns5:sSub>
          <ns5:e>
            <ns5:r>
              <ns5:t>B</ns5:t>
            </ns5:r>
          </ns5:e>
          <ns5:sub>
            <ns5:sSub>
              <ns5:e>
                <ns5:r>
                  <ns5:t>t</ns5:t>
                </ns5:r>
              </ns5:e>
              <ns5:sub>
                <ns5:r>
                  <ns5:t>0</ns5:t>
                </ns5:r>
              </ns5:sub>
            </ns5:sSub>
          </ns5:sub>
        </ns5:sSub>
      </ns5:oMath>
      <w:r>
        <w:t xml:space="preserve"> </w:t>
      </w:r>
      <w:r>
        <w:t xml:space="preserve">the initial</w:t>
      </w:r>
      <w:r>
        <w:t xml:space="preserve"> </w:t>
      </w:r>
      <w:r>
        <w:t xml:space="preserve">airborne sporangia amount.</w:t>
      </w:r>
    </w:p>
    <w:p>
      <w:pPr>
        <w:pStyle w:val="Normal"/>
        <w:spacing w:line="480" w:lineRule="auto"/>
      </w:pPr>
      <w:r>
        <w:t xml:space="preserve">Two dispersal scenarios are distinguished:</w:t>
      </w:r>
    </w:p>
    <w:p>
      <w:pPr>
        <w:pStyle w:val="Normal"/>
        <w:spacing w:line="480" w:lineRule="auto"/>
      </w:pPr>
      <w:r>
        <w:t xml:space="preserve">Rainfall-driven dispersal: sporangia are assumed to deposit rapidly on</w:t>
      </w:r>
      <w:r>
        <w:t xml:space="preserve"> </w:t>
      </w:r>
      <w:r>
        <w:t xml:space="preserve">plant surfaces approximately one hour after dispersal:</w:t>
      </w:r>
    </w:p>
    <w:p>
      <w:pPr>
        <w:pStyle w:val="Normal"/>
        <w:spacing w:line="480" w:lineRule="auto"/>
        <w:tabs>
          <w:tab w:val="center" w:pos="4680"/>
          <w:tab w:val="right" w:pos="9360"/>
        </w:tabs>
        <w:jc w:val="left"/>
      </w:pPr>
      <w:r>
        <w:tab/>
      </w:r>
      <ns5:oMath>
        <ns5:sSub>
          <ns5:e>
            <ns5:r>
              <ns5:t>t</ns5:t>
            </ns5:r>
          </ns5:e>
          <ns5:sub>
            <ns5:r>
              <ns5:t>d</ns5:t>
            </ns5:r>
          </ns5:sub>
        </ns5:sSub>
        <ns5:r>
          <ns5:rPr>
            <ns5:sty ns5:val="p"/>
          </ns5:rPr>
          <ns5:t>=</ns5:t>
        </ns5:r>
        <ns5:sSub>
          <ns5:e>
            <ns5:r>
              <ns5:t>t</ns5:t>
            </ns5:r>
          </ns5:e>
          <ns5:sub>
            <ns5:r>
              <ns5:t>0</ns5:t>
            </ns5:r>
          </ns5:sub>
        </ns5:sSub>
        <ns5:r>
          <ns5:rPr>
            <ns5:sty ns5:val="p"/>
          </ns5:rPr>
          <ns5:t>+</ns5:t>
        </ns5:r>
        <ns5:r>
          <ns5:t>1</ns5:t>
        </ns5:r>
        <ns5:r>
          <ns5:rPr>
            <ns5:nor/>
            <ns5:sty ns5:val="p"/>
          </ns5:rPr>
          <ns5:t> h</ns5:t>
        </ns5:r>
        <ns5:r>
          <ns5:rPr>
            <ns5:sty ns5:val="p"/>
          </ns5:rPr>
          <ns5:t>,</ns5:t>
        </ns5:r>
        <ns5:r>
          <ns5:t> </ns5:t>
        </ns5:r>
        <ns5:r>
          <ns5:t>D</ns5:t>
        </ns5:r>
        <ns5:r>
          <ns5:rPr>
            <ns5:sty ns5:val="p"/>
          </ns5:rPr>
          <ns5:t>=</ns5:t>
        </ns5:r>
        <ns5:sSub>
          <ns5:e>
            <ns5:r>
              <ns5:t>B</ns5:t>
            </ns5:r>
          </ns5:e>
          <ns5:sub>
            <ns5:sSub>
              <ns5:e>
                <ns5:r>
                  <ns5:t>t</ns5:t>
                </ns5:r>
              </ns5:e>
              <ns5:sub>
                <ns5:r>
                  <ns5:t>0</ns5:t>
                </ns5:r>
              </ns5:sub>
            </ns5:sSub>
          </ns5:sub>
        </ns5:sSub>
      </ns5:oMath>
      <w:r>
        <w:tab/>
      </w:r>
      <w:r>
        <w:rPr>
          <w:rFonts w:ascii="Times New Roman" w:hAnsi="Times New Roman" w:eastAsia="Times New Roman" w:cs="Times New Roman"/>
          <w:sz w:val="24"/>
          <w:szCs w:val="24"/>
        </w:rPr>
        <w:t>(2)</w:t>
      </w:r>
    </w:p>
    <w:p>
      <w:pPr>
        <w:pStyle w:val="FirstParagraph"/>
        <w:spacing w:line="480" w:lineRule="auto"/>
      </w:pPr>
      <w:r>
        <w:t xml:space="preserve">Wind-driven dispersal: sporangia remain airborne and decay exponentially</w:t>
      </w:r>
      <w:r>
        <w:t xml:space="preserve"> </w:t>
      </w:r>
      <w:r>
        <w:t xml:space="preserve">during daytime:</w:t>
      </w:r>
    </w:p>
    <w:p>
      <w:pPr>
        <w:pStyle w:val="Normal"/>
        <w:spacing w:line="480" w:lineRule="auto"/>
        <w:tabs>
          <w:tab w:val="center" w:pos="4680"/>
          <w:tab w:val="right" w:pos="9360"/>
        </w:tabs>
        <w:jc w:val="left"/>
      </w:pPr>
      <w:r>
        <w:tab/>
      </w:r>
      <ns5:oMath>
        <ns5:sSub>
          <ns5:e>
            <ns5:r>
              <ns5:t>B</ns5:t>
            </ns5:r>
          </ns5:e>
          <ns5:sub>
            <ns5:r>
              <ns5:t>t</ns5:t>
            </ns5:r>
            <ns5:r>
              <ns5:rPr>
                <ns5:sty ns5:val="p"/>
              </ns5:rPr>
              <ns5:t>+</ns5:t>
            </ns5:r>
            <ns5:r>
              <ns5:t>1</ns5:t>
            </ns5:r>
          </ns5:sub>
        </ns5:sSub>
        <ns5:r>
          <ns5:rPr>
            <ns5:sty ns5:val="p"/>
          </ns5:rPr>
          <ns5:t>=</ns5:t>
        </ns5:r>
        <ns5:sSub>
          <ns5:e>
            <ns5:r>
              <ns5:t>B</ns5:t>
            </ns5:r>
          </ns5:e>
          <ns5:sub>
            <ns5:r>
              <ns5:t>t</ns5:t>
            </ns5:r>
          </ns5:sub>
        </ns5:sSub>
        <ns5:r>
          <ns5:rPr>
            <ns5:sty ns5:val="p"/>
          </ns5:rPr>
          <ns5:t>exp</ns5:t>
        </ns5:r>
        <ns5:r>
          <ns5:rPr>
            <ns5:sty ns5:val="p"/>
          </ns5:rPr>
          <ns5:t>(</ns5:t>
        </ns5:r>
        <ns5:r>
          <ns5:rPr>
            <ns5:sty ns5:val="p"/>
          </ns5:rPr>
          <ns5:t>−</ns5:t>
        </ns5:r>
        <ns5:sSub>
          <ns5:e>
            <ns5:r>
              <ns5:t>λ</ns5:t>
            </ns5:r>
          </ns5:e>
          <ns5:sub>
            <ns5:r>
              <ns5:t>t</ns5:t>
            </ns5:r>
          </ns5:sub>
        </ns5:sSub>
        <ns5:r>
          <ns5:rPr>
            <ns5:sty ns5:val="p"/>
          </ns5:rPr>
          <ns5:t>)</ns5:t>
        </ns5:r>
      </ns5:oMath>
      <w:r>
        <w:tab/>
      </w:r>
      <w:r>
        <w:rPr>
          <w:rFonts w:ascii="Times New Roman" w:hAnsi="Times New Roman" w:eastAsia="Times New Roman" w:cs="Times New Roman"/>
          <w:sz w:val="24"/>
          <w:szCs w:val="24"/>
        </w:rPr>
        <w:t>(3)</w:t>
      </w:r>
    </w:p>
    <w:p>
      <w:pPr>
        <w:pStyle w:val="FirstParagraph"/>
        <w:spacing w:line="480" w:lineRule="auto"/>
      </w:pPr>
      <w:r>
        <w:t xml:space="preserve">where</w:t>
      </w:r>
      <w:r>
        <w:t xml:space="preserve"> </w:t>
      </w:r>
      <ns5:oMath>
        <ns5:sSub>
          <ns5:e>
            <ns5:r>
              <ns5:t>λ</ns5:t>
            </ns5:r>
          </ns5:e>
          <ns5:sub>
            <ns5:r>
              <ns5:t>t</ns5:t>
            </ns5:r>
          </ns5:sub>
        </ns5:sSub>
      </ns5:oMath>
      <w:r>
        <w:t xml:space="preserve"> </w:t>
      </w:r>
      <w:r>
        <w:t xml:space="preserve">is a VPD-dependent decay rate. Subsequent</w:t>
      </w:r>
      <w:r>
        <w:t xml:space="preserve"> </w:t>
      </w:r>
      <w:r>
        <w:t xml:space="preserve">rainfall events exceeding the deposition threshold</w:t>
      </w:r>
      <w:r>
        <w:t xml:space="preserve"> </w:t>
      </w:r>
      <ns5:oMath>
        <ns5:sSub>
          <ns5:e>
            <ns5:r>
              <ns5:t>R</ns5:t>
            </ns5:r>
          </ns5:e>
          <ns5:sub>
            <ns5:r>
              <ns5:rPr>
                <ns5:sty ns5:val="p"/>
              </ns5:rPr>
              <ns5:t>min</ns5:t>
            </ns5:r>
          </ns5:sub>
        </ns5:sSub>
      </ns5:oMath>
      <w:r>
        <w:t xml:space="preserve"> </w:t>
      </w:r>
      <w:r>
        <w:t xml:space="preserve">trigger deposition, with deposited inoculum given by:</w:t>
      </w:r>
    </w:p>
    <w:p>
      <w:pPr>
        <w:pStyle w:val="Normal"/>
        <w:spacing w:line="480" w:lineRule="auto"/>
        <w:tabs>
          <w:tab w:val="center" w:pos="4680"/>
          <w:tab w:val="right" w:pos="9360"/>
        </w:tabs>
        <w:jc w:val="left"/>
      </w:pPr>
      <w:r>
        <w:tab/>
      </w:r>
      <ns5:oMath>
        <ns5:r>
          <ns5:t>D</ns5:t>
        </ns5:r>
        <ns5:r>
          <ns5:rPr>
            <ns5:sty ns5:val="p"/>
          </ns5:rPr>
          <ns5:t>=</ns5:t>
        </ns5:r>
        <ns5:r>
          <ns5:t>B</ns5:t>
        </ns5:r>
        <ns5:r>
          <ns5:rPr>
            <ns5:sty ns5:val="p"/>
          </ns5:rPr>
          <ns5:t>(</ns5:t>
        </ns5:r>
        <ns5:sSubSup>
          <ns5:e>
            <ns5:r>
              <ns5:t>t</ns5:t>
            </ns5:r>
          </ns5:e>
          <ns5:sub>
            <ns5:r>
              <ns5:t>d</ns5:t>
            </ns5:r>
          </ns5:sub>
          <ns5:sup>
            <ns5:r>
              <ns5:rPr>
                <ns5:sty ns5:val="p"/>
              </ns5:rPr>
              <ns5:t>−</ns5:t>
            </ns5:r>
          </ns5:sup>
        </ns5:sSubSup>
        <ns5:r>
          <ns5:rPr>
            <ns5:sty ns5:val="p"/>
          </ns5:rPr>
          <ns5:t>)</ns5:t>
        </ns5:r>
      </ns5:oMath>
      <w:r>
        <w:tab/>
      </w:r>
      <w:r>
        <w:rPr>
          <w:rFonts w:ascii="Times New Roman" w:hAnsi="Times New Roman" w:eastAsia="Times New Roman" w:cs="Times New Roman"/>
          <w:sz w:val="24"/>
          <w:szCs w:val="24"/>
        </w:rPr>
        <w:t>(4)</w:t>
      </w:r>
    </w:p>
    <w:p>
      <w:pPr>
        <w:pStyle w:val="FirstParagraph"/>
        <w:spacing w:line="480" w:lineRule="auto"/>
      </w:pPr>
      <w:r>
        <w:t xml:space="preserve">If the deposited amount falls below the minimum spore threshold, the</w:t>
      </w:r>
      <w:r>
        <w:t xml:space="preserve"> </w:t>
      </w:r>
      <w:r>
        <w:t xml:space="preserve">cohort is considered inactive and does not contribute to subsequent</w:t>
      </w:r>
      <w:r>
        <w:t xml:space="preserve"> </w:t>
      </w:r>
      <w:r>
        <w:t xml:space="preserve">infection processes.</w:t>
      </w:r>
    </w:p>
    <w:p>
      <w:pPr>
        <w:pStyle w:val="Normal"/>
        <w:spacing w:line="480" w:lineRule="auto"/>
      </w:pPr>
      <w:r>
        <w:t xml:space="preserve">Field monitoring indicated that airborne pathogen structures captured</w:t>
      </w:r>
      <w:r>
        <w:t xml:space="preserve"> </w:t>
      </w:r>
      <w:r>
        <w:t xml:space="preserve">prior to the appearance of visible lesions were predominantly sporangia</w:t>
      </w:r>
      <w:r>
        <w:t xml:space="preserve"> </w:t>
      </w:r>
      <w:r>
        <w:t xml:space="preserve">(</w:t>
      </w:r>
      <w:hyperlink w:anchor="Xe6e679311f335389e47f354d0dda93b5fedceaa">
        <w:r>
          <w:rPr>
            <w:rStyle w:val="Hyperlink"/>
          </w:rPr>
          <w:t xml:space="preserve">Fig 5d</w:t>
        </w:r>
      </w:hyperlink>
      <w:r>
        <w:t xml:space="preserve">), providing observational support for</w:t>
      </w:r>
      <w:r>
        <w:t xml:space="preserve"> </w:t>
      </w:r>
      <w:r>
        <w:t xml:space="preserve">the sporulation, dispersal, and deposition modules included in the FSIM.</w:t>
      </w:r>
    </w:p>
    <w:bookmarkEnd w:id="42"/>
    <w:bookmarkStart w:id="47" w:name="X3cbfd1b16bdccdfc287ce457fc9bc0c2556f34c"/>
    <w:p>
      <w:pPr>
        <w:pStyle w:val="Heading3"/>
      </w:pPr>
      <w:r>
        <w:t xml:space="preserve">Spore-constrained refinement of the</w:t>
      </w:r>
      <w:r>
        <w:t xml:space="preserve"> </w:t>
      </w:r>
      <w:r>
        <w:rPr>
          <w:i/>
          <w:iCs/>
        </w:rPr>
        <w:t xml:space="preserve">First Seasonal Infection Model</w:t>
      </w:r>
      <w:r>
        <w:t xml:space="preserve"> </w:t>
      </w:r>
      <w:r>
        <w:t xml:space="preserve">(FSIM-S)</w:t>
      </w:r>
    </w:p>
    <w:p>
      <w:pPr>
        <w:pStyle w:val="FirstParagraph"/>
        <w:spacing w:line="480" w:lineRule="auto"/>
      </w:pPr>
      <w:r>
        <w:t xml:space="preserve">An extended model (FSIM-S) was developed while maintaining the</w:t>
      </w:r>
      <w:r>
        <w:t xml:space="preserve"> </w:t>
      </w:r>
      <w:r>
        <w:t xml:space="preserve">mechanistic process chain of FSIM. The suffix</w:t>
      </w:r>
      <w:r>
        <w:t xml:space="preserve"> </w:t>
      </w:r>
      <w:r>
        <w:t xml:space="preserve">“-S”</w:t>
      </w:r>
      <w:r>
        <w:t xml:space="preserve"> </w:t>
      </w:r>
      <w:r>
        <w:t xml:space="preserve">denotes the</w:t>
      </w:r>
      <w:r>
        <w:t xml:space="preserve"> </w:t>
      </w:r>
      <w:r>
        <w:t xml:space="preserve">incorporation of airborne sporangia observations. A daily sporangia</w:t>
      </w:r>
      <w:r>
        <w:t xml:space="preserve"> </w:t>
      </w:r>
      <w:r>
        <w:t xml:space="preserve">pressure field</w:t>
      </w:r>
      <w:r>
        <w:t xml:space="preserve"> </w:t>
      </w:r>
      <ns5:oMath>
        <ns5:r>
          <ns5:t>S</ns5:t>
        </ns5:r>
        <ns5:r>
          <ns5:rPr>
            <ns5:sty ns5:val="p"/>
          </ns5:rPr>
          <ns5:t>(</ns5:t>
        </ns5:r>
        <ns5:r>
          <ns5:t>d</ns5:t>
        </ns5:r>
        <ns5:r>
          <ns5:rPr>
            <ns5:sty ns5:val="p"/>
          </ns5:rPr>
          <ns5:t>)</ns5:t>
        </ns5:r>
      </ns5:oMath>
      <w:r>
        <w:t xml:space="preserve"> </w:t>
      </w:r>
      <w:r>
        <w:t xml:space="preserve">was constructed from field monitoring data. After</w:t>
      </w:r>
      <w:r>
        <w:t xml:space="preserve"> </w:t>
      </w:r>
      <w:r>
        <w:t xml:space="preserve">temporal interpolation, normalization, and smoothing, the resulting</w:t>
      </w:r>
      <w:r>
        <w:t xml:space="preserve"> </w:t>
      </w:r>
      <w:r>
        <w:t xml:space="preserve">signal represented relative inoculum pressure conditions. Hourly spore</w:t>
      </w:r>
      <w:r>
        <w:t xml:space="preserve"> </w:t>
      </w:r>
      <w:r>
        <w:t xml:space="preserve">pressure was defined as a three-day rolling average:</w:t>
      </w:r>
    </w:p>
    <w:p>
      <w:pPr>
        <w:pStyle w:val="Normal"/>
        <w:spacing w:line="480" w:lineRule="auto"/>
        <w:tabs>
          <w:tab w:val="center" w:pos="4680"/>
          <w:tab w:val="right" w:pos="9360"/>
        </w:tabs>
        <w:jc w:val="left"/>
      </w:pPr>
      <w:r>
        <w:tab/>
      </w:r>
      <ns5:oMath>
        <ns5:sSub>
          <ns5:e>
            <ns5:r>
              <ns5:t>P</ns5:t>
            </ns5:r>
          </ns5:e>
          <ns5:sub>
            <ns5:r>
              <ns5:t>t</ns5:t>
            </ns5:r>
          </ns5:sub>
        </ns5:sSub>
        <ns5:r>
          <ns5:rPr>
            <ns5:sty ns5:val="p"/>
          </ns5:rPr>
          <ns5:t>=</ns5:t>
        </ns5:r>
        <ns5:f>
          <ns5:fPr>
            <ns5:type ns5:val="bar"/>
          </ns5:fPr>
          <ns5:num>
            <ns5:r>
              <ns5:t>1</ns5:t>
            </ns5:r>
          </ns5:num>
          <ns5:den>
            <ns5:r>
              <ns5:t>3</ns5:t>
            </ns5:r>
          </ns5:den>
        </ns5:f>
        <ns5:nary>
          <ns5:naryPr>
            <ns5:chr ns5:val="∑"/>
            <ns5:limLoc ns5:val="undOvr"/>
            <ns5:subHide ns5:val="off"/>
            <ns5:supHide ns5:val="off"/>
          </ns5:naryPr>
          <ns5:sub>
            <ns5:r>
              <ns5:t>k</ns5:t>
            </ns5:r>
            <ns5:r>
              <ns5:rPr>
                <ns5:sty ns5:val="p"/>
              </ns5:rPr>
              <ns5:t>=</ns5:t>
            </ns5:r>
            <ns5:r>
              <ns5:t>0</ns5:t>
            </ns5:r>
          </ns5:sub>
          <ns5:sup>
            <ns5:r>
              <ns5:t>2</ns5:t>
            </ns5:r>
          </ns5:sup>
          <ns5:e>
            <ns5:r>
              <ns5:t> </ns5:t>
            </ns5:r>
          </ns5:e>
        </ns5:nary>
        <ns5:r>
          <ns5:t> </ns5:t>
        </ns5:r>
        <ns5:r>
          <ns5:t>S</ns5:t>
        </ns5:r>
        <ns5:r>
          <ns5:rPr>
            <ns5:sty ns5:val="p"/>
          </ns5:rPr>
          <ns5:t>(</ns5:t>
        </ns5:r>
        <ns5:sSub>
          <ns5:e>
            <ns5:r>
              <ns5:t>d</ns5:t>
            </ns5:r>
          </ns5:e>
          <ns5:sub>
            <ns5:r>
              <ns5:t>t</ns5:t>
            </ns5:r>
          </ns5:sub>
        </ns5:sSub>
        <ns5:r>
          <ns5:rPr>
            <ns5:sty ns5:val="p"/>
          </ns5:rPr>
          <ns5:t>−</ns5:t>
        </ns5:r>
        <ns5:r>
          <ns5:t>k</ns5:t>
        </ns5:r>
        <ns5:r>
          <ns5:rPr>
            <ns5:sty ns5:val="p"/>
          </ns5:rPr>
          <ns5:t>)</ns5:t>
        </ns5:r>
      </ns5:oMath>
      <w:r>
        <w:tab/>
      </w:r>
      <w:r>
        <w:rPr>
          <w:rFonts w:ascii="Times New Roman" w:hAnsi="Times New Roman" w:eastAsia="Times New Roman" w:cs="Times New Roman"/>
          <w:sz w:val="24"/>
          <w:szCs w:val="24"/>
        </w:rPr>
        <w:t>(5)</w:t>
      </w:r>
    </w:p>
    <w:p>
      <w:pPr>
        <w:pStyle w:val="FirstParagraph"/>
        <w:spacing w:line="480" w:lineRule="auto"/>
      </w:pPr>
      <w:r>
        <w:t xml:space="preserve">In the baseline FSIM, infection occurrence was determined by:</w:t>
      </w:r>
    </w:p>
    <w:p>
      <w:pPr>
        <w:pStyle w:val="Normal"/>
        <w:spacing w:line="480" w:lineRule="auto"/>
        <w:tabs>
          <w:tab w:val="center" w:pos="4680"/>
          <w:tab w:val="right" w:pos="9360"/>
        </w:tabs>
        <w:jc w:val="left"/>
      </w:pPr>
      <w:r>
        <w:tab/>
      </w:r>
      <ns5:oMath>
        <ns5:r>
          <ns5:t>W</ns5:t>
        </ns5:r>
        <ns5:sSub>
          <ns5:e>
            <ns5:r>
              <ns5:t>D</ns5:t>
            </ns5:r>
          </ns5:e>
          <ns5:sub>
            <ns5:r>
              <ns5:t>t</ns5:t>
            </ns5:r>
          </ns5:sub>
        </ns5:sSub>
        <ns5:r>
          <ns5:rPr>
            <ns5:sty ns5:val="p"/>
          </ns5:rPr>
          <ns5:t>⋅</ns5:t>
        </ns5:r>
        <ns5:r>
          <ns5:t>T</ns5:t>
        </ns5:r>
        <ns5:r>
          <ns5:t>W</ns5:t>
        </ns5:r>
        <ns5:sSub>
          <ns5:e>
            <ns5:r>
              <ns5:t>D</ns5:t>
            </ns5:r>
          </ns5:e>
          <ns5:sub>
            <ns5:r>
              <ns5:t>t</ns5:t>
            </ns5:r>
          </ns5:sub>
        </ns5:sSub>
        <ns5:r>
          <ns5:rPr>
            <ns5:sty ns5:val="p"/>
          </ns5:rPr>
          <ns5:t>≥</ns5:t>
        </ns5:r>
        <ns5:r>
          <ns5:t>I</ns5:t>
        </ns5:r>
        <ns5:r>
          <ns5:t>C</ns5:t>
        </ns5:r>
      </ns5:oMath>
      <w:r>
        <w:tab/>
      </w:r>
      <w:r>
        <w:rPr>
          <w:rFonts w:ascii="Times New Roman" w:hAnsi="Times New Roman" w:eastAsia="Times New Roman" w:cs="Times New Roman"/>
          <w:sz w:val="24"/>
          <w:szCs w:val="24"/>
        </w:rPr>
        <w:t>(6)</w:t>
      </w:r>
    </w:p>
    <w:p>
      <w:pPr>
        <w:pStyle w:val="FirstParagraph"/>
        <w:spacing w:line="480" w:lineRule="auto"/>
      </w:pPr>
      <w:r>
        <w:t xml:space="preserve">where</w:t>
      </w:r>
      <w:r>
        <w:t xml:space="preserve"> </w:t>
      </w:r>
      <ns5:oMath>
        <ns5:r>
          <ns5:t>I</ns5:t>
        </ns5:r>
        <ns5:r>
          <ns5:t>C</ns5:t>
        </ns5:r>
      </ns5:oMath>
      <w:r>
        <w:t xml:space="preserve"> </w:t>
      </w:r>
      <w:r>
        <w:t xml:space="preserve">denotes the infection threshold parameter. In FSIM-S, this</w:t>
      </w:r>
      <w:r>
        <w:t xml:space="preserve"> </w:t>
      </w:r>
      <w:r>
        <w:t xml:space="preserve">fixed threshold was replaced by a pressure-adjusted effective threshold</w:t>
      </w:r>
      <w:r>
        <w:t xml:space="preserve"> </w:t>
      </w:r>
      <ns5:oMath>
        <ns5:r>
          <ns5:t>I</ns5:t>
        </ns5:r>
        <ns5:sSubSup>
          <ns5:e>
            <ns5:r>
              <ns5:t>C</ns5:t>
            </ns5:r>
          </ns5:e>
          <ns5:sub>
            <ns5:r>
              <ns5:t>t</ns5:t>
            </ns5:r>
          </ns5:sub>
          <ns5:sup>
            <ns5:r>
              <ns5:rPr>
                <ns5:sty ns5:val="p"/>
              </ns5:rPr>
              <ns5:t>*</ns5:t>
            </ns5:r>
          </ns5:sup>
        </ns5:sSubSup>
      </ns5:oMath>
      <w:r>
        <w:t xml:space="preserve">:</w:t>
      </w:r>
    </w:p>
    <w:p>
      <w:pPr>
        <w:pStyle w:val="Normal"/>
        <w:spacing w:line="480" w:lineRule="auto"/>
        <w:tabs>
          <w:tab w:val="center" w:pos="4680"/>
          <w:tab w:val="right" w:pos="9360"/>
        </w:tabs>
        <w:jc w:val="left"/>
      </w:pPr>
      <w:r>
        <w:tab/>
      </w:r>
      <ns5:oMath>
        <ns5:r>
          <ns5:t>I</ns5:t>
        </ns5:r>
        <ns5:sSubSup>
          <ns5:e>
            <ns5:r>
              <ns5:t>C</ns5:t>
            </ns5:r>
          </ns5:e>
          <ns5:sub>
            <ns5:r>
              <ns5:t>t</ns5:t>
            </ns5:r>
          </ns5:sub>
          <ns5:sup>
            <ns5:r>
              <ns5:rPr>
                <ns5:sty ns5:val="p"/>
              </ns5:rPr>
              <ns5:t>*</ns5:t>
            </ns5:r>
          </ns5:sup>
        </ns5:sSubSup>
        <ns5:r>
          <ns5:rPr>
            <ns5:sty ns5:val="p"/>
          </ns5:rPr>
          <ns5:t>=</ns5:t>
        </ns5:r>
        <ns5:d>
          <ns5:dPr>
            <ns5:begChr ns5:val="{"/>
            <ns5:sepChr ns5:val=""/>
            <ns5:endChr ns5:val=""/>
            <ns5:grow/>
          </ns5:dPr>
          <ns5:e>
            <ns5:m>
              <ns5:mPr>
                <ns5:baseJc ns5:val="center"/>
                <ns5:plcHide ns5:val="on"/>
                <ns5:mcs>
                  <ns5:mc>
                    <ns5:mcPr>
                      <ns5:mcJc ns5:val="center"/>
                      <ns5:count ns5:val="1"/>
                    </ns5:mcPr>
                  </ns5:mc>
                  <ns5:mc>
                    <ns5:mcPr>
                      <ns5:mcJc ns5:val="center"/>
                      <ns5:count ns5:val="1"/>
                    </ns5:mcPr>
                  </ns5:mc>
                </ns5:mcs>
              </ns5:mPr>
              <ns5:mr>
                <ns5:e>
                  <ns5:r>
                    <ns5:t>I</ns5:t>
                  </ns5:r>
                  <ns5:r>
                    <ns5:t>C</ns5:t>
                  </ns5:r>
                  <ns5:r>
                    <ns5:rPr>
                      <ns5:sty ns5:val="p"/>
                    </ns5:rPr>
                    <ns5:t>⋅</ns5:t>
                  </ns5:r>
                  <ns5:r>
                    <ns5:rPr>
                      <ns5:sty ns5:val="p"/>
                    </ns5:rPr>
                    <ns5:t>exp</ns5:t>
                  </ns5:r>
                  <ns5:r>
                    <ns5:rPr>
                      <ns5:sty ns5:val="p"/>
                    </ns5:rPr>
                    <ns5:t>(</ns5:t>
                  </ns5:r>
                  <ns5:r>
                    <ns5:rPr>
                      <ns5:sty ns5:val="p"/>
                    </ns5:rPr>
                    <ns5:t>−</ns5:t>
                  </ns5:r>
                  <ns5:sSub>
                    <ns5:e>
                      <ns5:r>
                        <ns5:t>α</ns5:t>
                      </ns5:r>
                    </ns5:e>
                    <ns5:sub>
                      <ns5:r>
                        <ns5:t>p</ns5:t>
                      </ns5:r>
                      <ns5:r>
                        <ns5:t>o</ns5:t>
                      </ns5:r>
                      <ns5:r>
                        <ns5:t>s</ns5:t>
                      </ns5:r>
                    </ns5:sub>
                  </ns5:sSub>
                  <ns5:sSub>
                    <ns5:e>
                      <ns5:r>
                        <ns5:t>P</ns5:t>
                      </ns5:r>
                    </ns5:e>
                    <ns5:sub>
                      <ns5:r>
                        <ns5:t>t</ns5:t>
                      </ns5:r>
                    </ns5:sub>
                  </ns5:sSub>
                  <ns5:r>
                    <ns5:rPr>
                      <ns5:sty ns5:val="p"/>
                    </ns5:rPr>
                    <ns5:t>)</ns5:t>
                  </ns5:r>
                  <ns5:r>
                    <ns5:rPr>
                      <ns5:sty ns5:val="p"/>
                    </ns5:rPr>
                    <ns5:t>,</ns5:t>
                  </ns5:r>
                </ns5:e>
                <ns5:e>
                  <ns5:sSub>
                    <ns5:e>
                      <ns5:r>
                        <ns5:t>P</ns5:t>
                      </ns5:r>
                    </ns5:e>
                    <ns5:sub>
                      <ns5:r>
                        <ns5:t>t</ns5:t>
                      </ns5:r>
                    </ns5:sub>
                  </ns5:sSub>
                  <ns5:r>
                    <ns5:rPr>
                      <ns5:sty ns5:val="p"/>
                    </ns5:rPr>
                    <ns5:t>≥</ns5:t>
                  </ns5:r>
                  <ns5:r>
                    <ns5:t>0</ns5:t>
                  </ns5:r>
                  <ns5:r>
                    <ns5:rPr>
                      <ns5:sty ns5:val="p"/>
                    </ns5:rPr>
                    <ns5:t>,</ns5:t>
                  </ns5:r>
                </ns5:e>
              </ns5:mr>
              <ns5:mr>
                <ns5:e>
                  <ns5:r>
                    <ns5:t>I</ns5:t>
                  </ns5:r>
                  <ns5:r>
                    <ns5:t>C</ns5:t>
                  </ns5:r>
                  <ns5:r>
                    <ns5:rPr>
                      <ns5:sty ns5:val="p"/>
                    </ns5:rPr>
                    <ns5:t>⋅</ns5:t>
                  </ns5:r>
                  <ns5:r>
                    <ns5:rPr>
                      <ns5:sty ns5:val="p"/>
                    </ns5:rPr>
                    <ns5:t>exp</ns5:t>
                  </ns5:r>
                  <ns5:r>
                    <ns5:rPr>
                      <ns5:sty ns5:val="p"/>
                    </ns5:rPr>
                    <ns5:t>(</ns5:t>
                  </ns5:r>
                  <ns5:sSub>
                    <ns5:e>
                      <ns5:r>
                        <ns5:t>α</ns5:t>
                      </ns5:r>
                    </ns5:e>
                    <ns5:sub>
                      <ns5:r>
                        <ns5:t>n</ns5:t>
                      </ns5:r>
                      <ns5:r>
                        <ns5:t>e</ns5:t>
                      </ns5:r>
                      <ns5:r>
                        <ns5:t>g</ns5:t>
                      </ns5:r>
                    </ns5:sub>
                  </ns5:sSub>
                  <ns5:r>
                    <ns5:rPr>
                      <ns5:sty ns5:val="p"/>
                    </ns5:rPr>
                    <ns5:t>(</ns5:t>
                  </ns5:r>
                  <ns5:r>
                    <ns5:rPr>
                      <ns5:sty ns5:val="p"/>
                    </ns5:rPr>
                    <ns5:t>−</ns5:t>
                  </ns5:r>
                  <ns5:sSub>
                    <ns5:e>
                      <ns5:r>
                        <ns5:t>P</ns5:t>
                      </ns5:r>
                    </ns5:e>
                    <ns5:sub>
                      <ns5:r>
                        <ns5:t>t</ns5:t>
                      </ns5:r>
                    </ns5:sub>
                  </ns5:sSub>
                  <ns5:r>
                    <ns5:rPr>
                      <ns5:sty ns5:val="p"/>
                    </ns5:rPr>
                    <ns5:t>)</ns5:t>
                  </ns5:r>
                  <ns5:r>
                    <ns5:rPr>
                      <ns5:sty ns5:val="p"/>
                    </ns5:rPr>
                    <ns5:t>)</ns5:t>
                  </ns5:r>
                  <ns5:r>
                    <ns5:rPr>
                      <ns5:sty ns5:val="p"/>
                    </ns5:rPr>
                    <ns5:t>,</ns5:t>
                  </ns5:r>
                </ns5:e>
                <ns5:e>
                  <ns5:sSub>
                    <ns5:e>
                      <ns5:r>
                        <ns5:t>P</ns5:t>
                      </ns5:r>
                    </ns5:e>
                    <ns5:sub>
                      <ns5:r>
                        <ns5:t>t</ns5:t>
                      </ns5:r>
                    </ns5:sub>
                  </ns5:sSub>
                  <ns5:r>
                    <ns5:rPr>
                      <ns5:sty ns5:val="p"/>
                    </ns5:rPr>
                    <ns5:t>&lt;</ns5:t>
                  </ns5:r>
                  <ns5:r>
                    <ns5:t>0</ns5:t>
                  </ns5:r>
                </ns5:e>
              </ns5:mr>
            </ns5:m>
          </ns5:e>
        </ns5:d>
      </ns5:oMath>
      <w:r>
        <w:tab/>
      </w:r>
      <w:r>
        <w:rPr>
          <w:rFonts w:ascii="Times New Roman" w:hAnsi="Times New Roman" w:eastAsia="Times New Roman" w:cs="Times New Roman"/>
          <w:sz w:val="24"/>
          <w:szCs w:val="24"/>
        </w:rPr>
        <w:t>(7)</w:t>
      </w:r>
    </w:p>
    <w:p>
      <w:pPr>
        <w:pStyle w:val="FirstParagraph"/>
        <w:spacing w:line="480" w:lineRule="auto"/>
      </w:pPr>
      <w:r>
        <w:t xml:space="preserve">and infection was considered to occur when:</w:t>
      </w:r>
    </w:p>
    <w:p>
      <w:pPr>
        <w:pStyle w:val="Normal"/>
        <w:spacing w:line="480" w:lineRule="auto"/>
        <w:tabs>
          <w:tab w:val="center" w:pos="4680"/>
          <w:tab w:val="right" w:pos="9360"/>
        </w:tabs>
        <w:jc w:val="left"/>
      </w:pPr>
      <w:r>
        <w:tab/>
      </w:r>
      <ns5:oMath>
        <ns5:r>
          <ns5:t>W</ns5:t>
        </ns5:r>
        <ns5:sSub>
          <ns5:e>
            <ns5:r>
              <ns5:t>D</ns5:t>
            </ns5:r>
          </ns5:e>
          <ns5:sub>
            <ns5:r>
              <ns5:t>t</ns5:t>
            </ns5:r>
          </ns5:sub>
        </ns5:sSub>
        <ns5:r>
          <ns5:rPr>
            <ns5:sty ns5:val="p"/>
          </ns5:rPr>
          <ns5:t>⋅</ns5:t>
        </ns5:r>
        <ns5:r>
          <ns5:t>T</ns5:t>
        </ns5:r>
        <ns5:r>
          <ns5:t>W</ns5:t>
        </ns5:r>
        <ns5:sSub>
          <ns5:e>
            <ns5:r>
              <ns5:t>D</ns5:t>
            </ns5:r>
          </ns5:e>
          <ns5:sub>
            <ns5:r>
              <ns5:t>t</ns5:t>
            </ns5:r>
          </ns5:sub>
        </ns5:sSub>
        <ns5:r>
          <ns5:rPr>
            <ns5:sty ns5:val="p"/>
          </ns5:rPr>
          <ns5:t>≥</ns5:t>
        </ns5:r>
        <ns5:r>
          <ns5:t>I</ns5:t>
        </ns5:r>
        <ns5:sSubSup>
          <ns5:e>
            <ns5:r>
              <ns5:t>C</ns5:t>
            </ns5:r>
          </ns5:e>
          <ns5:sub>
            <ns5:r>
              <ns5:t>t</ns5:t>
            </ns5:r>
          </ns5:sub>
          <ns5:sup>
            <ns5:r>
              <ns5:rPr>
                <ns5:sty ns5:val="p"/>
              </ns5:rPr>
              <ns5:t>*</ns5:t>
            </ns5:r>
          </ns5:sup>
        </ns5:sSubSup>
      </ns5:oMath>
      <w:r>
        <w:tab/>
      </w:r>
      <w:r>
        <w:rPr>
          <w:rFonts w:ascii="Times New Roman" w:hAnsi="Times New Roman" w:eastAsia="Times New Roman" w:cs="Times New Roman"/>
          <w:sz w:val="24"/>
          <w:szCs w:val="24"/>
        </w:rPr>
        <w:t>(8)</w:t>
      </w:r>
    </w:p>
    <w:p>
      <w:pPr>
        <w:pStyle w:val="FirstParagraph"/>
        <w:spacing w:line="480" w:lineRule="auto"/>
      </w:pPr>
      <w:r>
        <w:t xml:space="preserve">where</w:t>
      </w:r>
      <w:r>
        <w:t xml:space="preserve"> </w:t>
      </w:r>
      <ns5:oMath>
        <ns5:sSub>
          <ns5:e>
            <ns5:r>
              <ns5:t>α</ns5:t>
            </ns5:r>
          </ns5:e>
          <ns5:sub>
            <ns5:r>
              <ns5:t>p</ns5:t>
            </ns5:r>
            <ns5:r>
              <ns5:t>o</ns5:t>
            </ns5:r>
            <ns5:r>
              <ns5:t>s</ns5:t>
            </ns5:r>
          </ns5:sub>
        </ns5:sSub>
      </ns5:oMath>
      <w:r>
        <w:t xml:space="preserve"> </w:t>
      </w:r>
      <w:r>
        <w:t xml:space="preserve">and</w:t>
      </w:r>
      <w:r>
        <w:t xml:space="preserve"> </w:t>
      </w:r>
      <ns5:oMath>
        <ns5:sSub>
          <ns5:e>
            <ns5:r>
              <ns5:t>α</ns5:t>
            </ns5:r>
          </ns5:e>
          <ns5:sub>
            <ns5:r>
              <ns5:t>n</ns5:t>
            </ns5:r>
            <ns5:r>
              <ns5:t>e</ns5:t>
            </ns5:r>
            <ns5:r>
              <ns5:t>g</ns5:t>
            </ns5:r>
          </ns5:sub>
        </ns5:sSub>
      </ns5:oMath>
      <w:r>
        <w:t xml:space="preserve"> </w:t>
      </w:r>
      <w:r>
        <w:t xml:space="preserve">are calibration parameters</w:t>
      </w:r>
      <w:r>
        <w:t xml:space="preserve"> </w:t>
      </w:r>
      <w:r>
        <w:t xml:space="preserve">controlling threshold adjustments under high and low inoculum pressure,</w:t>
      </w:r>
      <w:r>
        <w:t xml:space="preserve"> </w:t>
      </w:r>
      <w:r>
        <w:t xml:space="preserve">respectively. Apart from this infection-threshold adjustment, all</w:t>
      </w:r>
      <w:r>
        <w:t xml:space="preserve"> </w:t>
      </w:r>
      <w:r>
        <w:t xml:space="preserve">meteorological drivers and physiological process formulations remained</w:t>
      </w:r>
      <w:r>
        <w:t xml:space="preserve"> </w:t>
      </w:r>
      <w:r>
        <w:t xml:space="preserve">identical to those in FSIM. The conceptual structure of the baseline and</w:t>
      </w:r>
      <w:r>
        <w:t xml:space="preserve"> </w:t>
      </w:r>
      <w:r>
        <w:t xml:space="preserve">spore-constrained models is summarized in</w:t>
      </w:r>
      <w:r>
        <w:t xml:space="preserve"> </w:t>
      </w:r>
      <w:hyperlink w:anchor="Xa756833166a65068fadffdfae40c02e9ca41991">
        <w:r>
          <w:rPr>
            <w:rStyle w:val="Hyperlink"/>
          </w:rPr>
          <w:t xml:space="preserve">Fig 6</w:t>
        </w:r>
      </w:hyperlink>
      <w:r>
        <w:t xml:space="preserve">.</w:t>
      </w:r>
    </w:p>
    <w:bookmarkStart w:id="46" w:name="Xa756833166a65068fadffdfae40c02e9ca41991"/>
    <w:p>
      <w:pPr>
        <w:pStyle w:val="CaptionedFigure"/>
        <w:jc w:val="center"/>
      </w:pPr>
      <w:r>
        <w:drawing>
          <ns2:inline>
            <ns2:extent cx="5154930" cy="5327021"/>
            <ns2:effectExtent b="0" l="0" r="0" t="0"/>
            <ns2:docPr descr="" title="" id="44" name="Picture"/>
            <ns3:graphic>
              <ns3:graphicData uri="http://schemas.openxmlformats.org/drawingml/2006/picture">
                <ns4:pic>
                  <ns4:nvPicPr>
                    <ns4:cNvPr descr="fig/Figure_06.png" id="45" name="Picture"/>
                    <ns4:cNvPicPr>
                      <ns3:picLocks noChangeArrowheads="1" noChangeAspect="1"/>
                    </ns4:cNvPicPr>
                  </ns4:nvPicPr>
                  <ns4:blipFill>
                    <ns3:blip r:embed="rId43"/>
                    <ns3:stretch>
                      <ns3:fillRect/>
                    </ns3:stretch>
                  </ns4:blipFill>
                  <ns4:spPr bwMode="auto">
                    <ns3:xfrm>
                      <ns3:off x="0" y="0"/>
                      <ns3:ext cx="5154930" cy="5327021"/>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6. Conceptual diagram of the model. The figure illustrates the mechanistic framework of first seasonal infection by Plasmopara viticola in subtropical Guangxi (FSIM). Red text indicates the incorporation of an observed spore-pressure field during the infection stage, representing the refined model denoted as FSIM-S.</w:t>
      </w:r>
    </w:p>
    <w:bookmarkEnd w:id="46"/>
    <w:bookmarkEnd w:id="47"/>
    <w:bookmarkEnd w:id="48"/>
    <w:bookmarkStart w:id="50" w:name="Xdeea143c5277c093d56657274fb4dafd3acaf75"/>
    <w:p>
      <w:pPr>
        <w:pStyle w:val="Heading2"/>
      </w:pPr>
      <w:r>
        <w:t xml:space="preserve">Parameterization and sensitivity</w:t>
      </w:r>
      <w:r>
        <w:t xml:space="preserve"> </w:t>
      </w:r>
      <w:r>
        <w:t xml:space="preserve">analysis</w:t>
      </w:r>
    </w:p>
    <w:p>
      <w:pPr>
        <w:pStyle w:val="FirstParagraph"/>
        <w:spacing w:line="480" w:lineRule="auto"/>
      </w:pPr>
      <w:r>
        <w:t>To identify key parameters and compare parameter response patterns</w:t>
      </w:r>
      <w:r>
        <w:t xml:space="preserve"> </w:t>
      </w:r>
      <w:r>
        <w:t>before and after incorporation of spore information, global sensitivity</w:t>
      </w:r>
      <w:r>
        <w:t xml:space="preserve"> </w:t>
      </w:r>
      <w:r>
        <w:t>analyses were conducted for both the baseline</w:t>
      </w:r>
      <w:r>
        <w:t xml:space="preserve"> </w:t>
      </w:r>
      <w:r>
        <w:rPr>
          <w:i/>
          <w:iCs/>
        </w:rPr>
        <w:t>First Seasonal</w:t>
      </w:r>
      <w:r>
        <w:rPr>
          <w:i/>
          <w:iCs/>
        </w:rPr>
        <w:t xml:space="preserve"> </w:t>
      </w:r>
      <w:r>
        <w:rPr>
          <w:i/>
          <w:iCs/>
        </w:rPr>
        <w:t>Infection Model</w:t>
      </w:r>
      <w:r>
        <w:t xml:space="preserve"> </w:t>
      </w:r>
      <w:r>
        <w:t>(FSIM) and the spore-constrained enhanced model</w:t>
      </w:r>
      <w:r>
        <w:t xml:space="preserve"> </w:t>
      </w:r>
      <w:r>
        <w:t>(FSIM-S). Considering the relatively high dimensionality of model</w:t>
      </w:r>
      <w:r>
        <w:t xml:space="preserve"> </w:t>
      </w:r>
      <w:r>
        <w:t>parameters and computational cost, a Morris global sensitivity analysis</w:t>
      </w:r>
      <w:r>
        <w:t xml:space="preserve"> </w:t>
      </w:r>
      <w:r>
        <w:t>framework (</w:t>
      </w:r>
      <w:hyperlink w:anchor="ref_morris_1991_32" w:history="1">
        <w:r>
          <w:rPr>
            <w:rStyle w:val="Hyperlink"/>
          </w:rPr>
          <w:t>Morris, 1991</w:t>
        </w:r>
      </w:hyperlink>
      <w:r>
        <w:t xml:space="preserve">; </w:t>
      </w:r>
      <w:hyperlink w:anchor="ref_iooss_2015_25" w:history="1">
        <w:r>
          <w:rPr>
            <w:rStyle w:val="Hyperlink"/>
          </w:rPr>
          <w:t>Iooss and Lemaître, 2015</w:t>
        </w:r>
      </w:hyperlink>
      <w:r>
        <w:t>) adopted to evaluate</w:t>
      </w:r>
      <w:r>
        <w:t xml:space="preserve"> </w:t>
      </w:r>
      <w:r>
        <w:t>the relative influence of parameters on model outputs and to detect</w:t>
      </w:r>
      <w:r>
        <w:t xml:space="preserve"> </w:t>
      </w:r>
      <w:r>
        <w:t>potential nonlinear and interaction effects. Parameter sampling and</w:t>
      </w:r>
      <w:r>
        <w:t xml:space="preserve"> </w:t>
      </w:r>
      <w:r>
        <w:t>sensitivity index estimation were implemented using the SALib toolkit.</w:t>
      </w:r>
      <w:r>
        <w:t xml:space="preserve"> </w:t>
      </w:r>
      <w:r>
        <w:t>The number of sampling levels was set to six, and 256–512 trajectories</w:t>
      </w:r>
      <w:r>
        <w:t xml:space="preserve"> </w:t>
      </w:r>
      <w:r>
        <w:t>were generated to balance computational efficiency and stability of</w:t>
      </w:r>
      <w:r>
        <w:t xml:space="preserve"> </w:t>
      </w:r>
      <w:r>
        <w:t>sensitivity estimates. Model performance was evaluated based on the</w:t>
      </w:r>
      <w:r>
        <w:t xml:space="preserve"> </w:t>
      </w:r>
      <w:r>
        <w:t>difference in day-of-year (DOY) between observed first lesion appearance</w:t>
      </w:r>
      <w:r>
        <w:t xml:space="preserve"> </w:t>
      </w:r>
      <w:r>
        <w:t>and the simulated oil-spot occurrence window, using mean absolute error</w:t>
      </w:r>
      <w:r>
        <w:t xml:space="preserve"> </w:t>
      </w:r>
      <w:r>
        <w:t>(MAE) as the primary metric. When no effective infection event was</w:t>
      </w:r>
      <w:r>
        <w:t xml:space="preserve"> </w:t>
      </w:r>
      <w:r>
        <w:t>simulated, a fixed penalty error (120 d) was applied to maintain</w:t>
      </w:r>
      <w:r>
        <w:t xml:space="preserve"> </w:t>
      </w:r>
      <w:r>
        <w:t>statistical consistency. The penalty value was selected to exceed the</w:t>
      </w:r>
      <w:r>
        <w:t xml:space="preserve"> </w:t>
      </w:r>
      <w:r>
        <w:t>biologically plausible infection window within a single growing season.</w:t>
      </w:r>
    </w:p>
    <w:p>
      <w:pPr>
        <w:pStyle w:val="Normal"/>
        <w:spacing w:line="480" w:lineRule="auto"/>
      </w:pPr>
      <w:r>
        <w:t xml:space="preserve">Let</w:t>
      </w:r>
      <w:r>
        <w:t xml:space="preserve"> </w:t>
      </w:r>
      <ns5:oMath>
        <ns5:r>
          <ns5:t>x</ns5:t>
        </ns5:r>
        <ns5:r>
          <ns5:rPr>
            <ns5:sty ns5:val="p"/>
          </ns5:rPr>
          <ns5:t>=</ns5:t>
        </ns5:r>
        <ns5:r>
          <ns5:rPr>
            <ns5:sty ns5:val="p"/>
          </ns5:rPr>
          <ns5:t>(</ns5:t>
        </ns5:r>
        <ns5:sSub>
          <ns5:e>
            <ns5:r>
              <ns5:t>x</ns5:t>
            </ns5:r>
          </ns5:e>
          <ns5:sub>
            <ns5:r>
              <ns5:t>1</ns5:t>
            </ns5:r>
          </ns5:sub>
        </ns5:sSub>
        <ns5:r>
          <ns5:rPr>
            <ns5:sty ns5:val="p"/>
          </ns5:rPr>
          <ns5:t>,</ns5:t>
        </ns5:r>
        <ns5:r>
          <ns5:rPr>
            <ns5:sty ns5:val="p"/>
          </ns5:rPr>
          <ns5:t>…</ns5:t>
        </ns5:r>
        <ns5:r>
          <ns5:rPr>
            <ns5:sty ns5:val="p"/>
          </ns5:rPr>
          <ns5:t>,</ns5:t>
        </ns5:r>
        <ns5:sSub>
          <ns5:e>
            <ns5:r>
              <ns5:t>x</ns5:t>
            </ns5:r>
          </ns5:e>
          <ns5:sub>
            <ns5:r>
              <ns5:t>k</ns5:t>
            </ns5:r>
          </ns5:sub>
        </ns5:sSub>
        <ns5:r>
          <ns5:rPr>
            <ns5:sty ns5:val="p"/>
          </ns5:rPr>
          <ns5:t>)</ns5:t>
        </ns5:r>
      </ns5:oMath>
      <w:r>
        <w:t xml:space="preserve"> </w:t>
      </w:r>
      <w:r>
        <w:t xml:space="preserve">denote the parameter vector and</w:t>
      </w:r>
      <w:r>
        <w:t xml:space="preserve"> </w:t>
      </w:r>
      <ns5:oMath>
        <ns5:r>
          <ns5:t>f</ns5:t>
        </ns5:r>
        <ns5:r>
          <ns5:rPr>
            <ns5:sty ns5:val="p"/>
          </ns5:rPr>
          <ns5:t>(</ns5:t>
        </ns5:r>
        <ns5:r>
          <ns5:t>x</ns5:t>
        </ns5:r>
        <ns5:r>
          <ns5:rPr>
            <ns5:sty ns5:val="p"/>
          </ns5:rPr>
          <ns5:t>)</ns5:t>
        </ns5:r>
      </ns5:oMath>
      <w:r>
        <w:t xml:space="preserve"> </w:t>
      </w:r>
      <w:r>
        <w:t xml:space="preserve">the model output. Following the Morris method, the elementary</w:t>
      </w:r>
      <w:r>
        <w:t xml:space="preserve"> </w:t>
      </w:r>
      <w:r>
        <w:t xml:space="preserve">effect of the</w:t>
      </w:r>
      <w:r>
        <w:t xml:space="preserve"> </w:t>
      </w:r>
      <ns5:oMath>
        <ns5:r>
          <ns5:t>i</ns5:t>
        </ns5:r>
      </ns5:oMath>
      <w:r>
        <w:t xml:space="preserve">-th parameter at sampling point</w:t>
      </w:r>
      <w:r>
        <w:t xml:space="preserve"> </w:t>
      </w:r>
      <ns5:oMath>
        <ns5:r>
          <ns5:rPr>
            <ns5:sty ns5:val="bi"/>
          </ns5:rPr>
          <ns5:t>x</ns5:t>
        </ns5:r>
      </ns5:oMath>
      <w:r>
        <w:t xml:space="preserve"> </w:t>
      </w:r>
      <w:r>
        <w:t xml:space="preserve">is</w:t>
      </w:r>
      <w:r>
        <w:t xml:space="preserve"> </w:t>
      </w:r>
      <w:r>
        <w:t xml:space="preserve">defined as:</w:t>
      </w:r>
    </w:p>
    <w:p>
      <w:pPr>
        <w:pStyle w:val="Normal"/>
        <w:spacing w:line="480" w:lineRule="auto"/>
        <w:tabs>
          <w:tab w:val="center" w:pos="4680"/>
          <w:tab w:val="right" w:pos="9360"/>
        </w:tabs>
        <w:jc w:val="left"/>
      </w:pPr>
      <w:r>
        <w:tab/>
      </w:r>
      <ns5:oMath>
        <ns5:r>
          <ns5:t>E</ns5:t>
        </ns5:r>
        <ns5:sSub>
          <ns5:e>
            <ns5:r>
              <ns5:t>E</ns5:t>
            </ns5:r>
          </ns5:e>
          <ns5:sub>
            <ns5:r>
              <ns5:t>i</ns5:t>
            </ns5:r>
          </ns5:sub>
        </ns5:sSub>
        <ns5:r>
          <ns5:rPr>
            <ns5:sty ns5:val="p"/>
          </ns5:rPr>
          <ns5:t>(</ns5:t>
        </ns5:r>
        <ns5:r>
          <ns5:t>x</ns5:t>
        </ns5:r>
        <ns5:r>
          <ns5:rPr>
            <ns5:sty ns5:val="p"/>
          </ns5:rPr>
          <ns5:t>)</ns5:t>
        </ns5:r>
        <ns5:r>
          <ns5:rPr>
            <ns5:sty ns5:val="p"/>
          </ns5:rPr>
          <ns5:t>=</ns5:t>
        </ns5:r>
        <ns5:f>
          <ns5:fPr>
            <ns5:type ns5:val="bar"/>
          </ns5:fPr>
          <ns5:num>
            <ns5:r>
              <ns5:t>f</ns5:t>
            </ns5:r>
            <ns5:r>
              <ns5:rPr>
                <ns5:sty ns5:val="p"/>
              </ns5:rPr>
              <ns5:t>(</ns5:t>
            </ns5:r>
            <ns5:sSub>
              <ns5:e>
                <ns5:r>
                  <ns5:t>x</ns5:t>
                </ns5:r>
              </ns5:e>
              <ns5:sub>
                <ns5:r>
                  <ns5:t>1</ns5:t>
                </ns5:r>
              </ns5:sub>
            </ns5:sSub>
            <ns5:r>
              <ns5:rPr>
                <ns5:sty ns5:val="p"/>
              </ns5:rPr>
              <ns5:t>,</ns5:t>
            </ns5:r>
            <ns5:r>
              <ns5:rPr>
                <ns5:sty ns5:val="p"/>
              </ns5:rPr>
              <ns5:t>…</ns5:t>
            </ns5:r>
            <ns5:r>
              <ns5:rPr>
                <ns5:sty ns5:val="p"/>
              </ns5:rPr>
              <ns5:t>,</ns5:t>
            </ns5:r>
            <ns5:sSub>
              <ns5:e>
                <ns5:r>
                  <ns5:t>x</ns5:t>
                </ns5:r>
              </ns5:e>
              <ns5:sub>
                <ns5:r>
                  <ns5:t>i</ns5:t>
                </ns5:r>
              </ns5:sub>
            </ns5:sSub>
            <ns5:r>
              <ns5:rPr>
                <ns5:sty ns5:val="p"/>
              </ns5:rPr>
              <ns5:t>+</ns5:t>
            </ns5:r>
            <ns5:r>
              <ns5:rPr>
                <ns5:sty ns5:val="p"/>
              </ns5:rPr>
              <ns5:t>Δ</ns5:t>
            </ns5:r>
            <ns5:r>
              <ns5:rPr>
                <ns5:sty ns5:val="p"/>
              </ns5:rPr>
              <ns5:t>,</ns5:t>
            </ns5:r>
            <ns5:r>
              <ns5:rPr>
                <ns5:sty ns5:val="p"/>
              </ns5:rPr>
              <ns5:t>…</ns5:t>
            </ns5:r>
            <ns5:r>
              <ns5:rPr>
                <ns5:sty ns5:val="p"/>
              </ns5:rPr>
              <ns5:t>,</ns5:t>
            </ns5:r>
            <ns5:sSub>
              <ns5:e>
                <ns5:r>
                  <ns5:t>x</ns5:t>
                </ns5:r>
              </ns5:e>
              <ns5:sub>
                <ns5:r>
                  <ns5:t>k</ns5:t>
                </ns5:r>
              </ns5:sub>
            </ns5:sSub>
            <ns5:r>
              <ns5:rPr>
                <ns5:sty ns5:val="p"/>
              </ns5:rPr>
              <ns5:t>)</ns5:t>
            </ns5:r>
            <ns5:r>
              <ns5:rPr>
                <ns5:sty ns5:val="p"/>
              </ns5:rPr>
              <ns5:t>−</ns5:t>
            </ns5:r>
            <ns5:r>
              <ns5:t>f</ns5:t>
            </ns5:r>
            <ns5:r>
              <ns5:rPr>
                <ns5:sty ns5:val="p"/>
              </ns5:rPr>
              <ns5:t>(</ns5:t>
            </ns5:r>
            <ns5:r>
              <ns5:t>x</ns5:t>
            </ns5:r>
            <ns5:r>
              <ns5:rPr>
                <ns5:sty ns5:val="p"/>
              </ns5:rPr>
              <ns5:t>)</ns5:t>
            </ns5:r>
          </ns5:num>
          <ns5:den>
            <ns5:r>
              <ns5:rPr>
                <ns5:sty ns5:val="p"/>
              </ns5:rPr>
              <ns5:t>Δ</ns5:t>
            </ns5:r>
          </ns5:den>
        </ns5:f>
      </ns5:oMath>
      <w:r>
        <w:tab/>
      </w:r>
      <w:r>
        <w:rPr>
          <w:rFonts w:ascii="Times New Roman" w:hAnsi="Times New Roman" w:eastAsia="Times New Roman" w:cs="Times New Roman"/>
          <w:sz w:val="24"/>
          <w:szCs w:val="24"/>
        </w:rPr>
        <w:t>(9)</w:t>
      </w:r>
    </w:p>
    <w:p>
      <w:pPr>
        <w:pStyle w:val="FirstParagraph"/>
        <w:spacing w:line="480" w:lineRule="auto"/>
      </w:pPr>
      <w:r>
        <w:t xml:space="preserve">Here,</w:t>
      </w:r>
      <w:r>
        <w:t xml:space="preserve"> </w:t>
      </w:r>
      <ns5:oMath>
        <ns5:r>
          <ns5:rPr>
            <ns5:sty ns5:val="p"/>
          </ns5:rPr>
          <ns5:t>Δ</ns5:t>
        </ns5:r>
      </ns5:oMath>
      <w:r>
        <w:t xml:space="preserve"> </w:t>
      </w:r>
      <w:r>
        <w:t xml:space="preserve">denotes the step size in the normalized parameter</w:t>
      </w:r>
      <w:r>
        <w:t xml:space="preserve"> </w:t>
      </w:r>
      <w:r>
        <w:t xml:space="preserve">space, determined by the predefined number of sampling levels. Based on</w:t>
      </w:r>
      <w:r>
        <w:t xml:space="preserve"> </w:t>
      </w:r>
      <ns5:oMath>
        <ns5:r>
          <ns5:t>N</ns5:t>
        </ns5:r>
      </ns5:oMath>
      <w:r>
        <w:t xml:space="preserve"> </w:t>
      </w:r>
      <w:r>
        <w:t xml:space="preserve">elementary effects, three sensitivity statistics were calculated:</w:t>
      </w:r>
    </w:p>
    <w:p>
      <w:pPr>
        <w:pStyle w:val="Normal"/>
        <w:spacing w:line="480" w:lineRule="auto"/>
        <w:tabs>
          <w:tab w:val="center" w:pos="4680"/>
          <w:tab w:val="right" w:pos="9360"/>
        </w:tabs>
        <w:jc w:val="left"/>
      </w:pPr>
      <w:r>
        <w:tab/>
      </w:r>
      <ns5:oMath>
        <ns5:sSub>
          <ns5:e>
            <ns5:r>
              <ns5:t>μ</ns5:t>
            </ns5:r>
          </ns5:e>
          <ns5:sub>
            <ns5:r>
              <ns5:t>i</ns5:t>
            </ns5:r>
          </ns5:sub>
        </ns5:sSub>
        <ns5:r>
          <ns5:rPr>
            <ns5:sty ns5:val="p"/>
          </ns5:rPr>
          <ns5:t>=</ns5:t>
        </ns5:r>
        <ns5:f>
          <ns5:fPr>
            <ns5:type ns5:val="bar"/>
          </ns5:fPr>
          <ns5:num>
            <ns5:r>
              <ns5:t>1</ns5:t>
            </ns5:r>
          </ns5:num>
          <ns5:den>
            <ns5:r>
              <ns5:t>N</ns5:t>
            </ns5:r>
          </ns5:den>
        </ns5:f>
        <ns5:nary>
          <ns5:naryPr>
            <ns5:chr ns5:val="∑"/>
            <ns5:limLoc ns5:val="undOvr"/>
            <ns5:subHide ns5:val="off"/>
            <ns5:supHide ns5:val="off"/>
          </ns5:naryPr>
          <ns5:sub>
            <ns5:r>
              <ns5:t>j</ns5:t>
            </ns5:r>
            <ns5:r>
              <ns5:rPr>
                <ns5:sty ns5:val="p"/>
              </ns5:rPr>
              <ns5:t>=</ns5:t>
            </ns5:r>
            <ns5:r>
              <ns5:t>1</ns5:t>
            </ns5:r>
          </ns5:sub>
          <ns5:sup>
            <ns5:r>
              <ns5:t>N</ns5:t>
            </ns5:r>
          </ns5:sup>
          <ns5:e>
            <ns5:r>
              <ns5:t> </ns5:t>
            </ns5:r>
          </ns5:e>
        </ns5:nary>
        <ns5:r>
          <ns5:t> </ns5:t>
        </ns5:r>
        <ns5:r>
          <ns5:t>E</ns5:t>
        </ns5:r>
        <ns5:sSub>
          <ns5:e>
            <ns5:r>
              <ns5:t>E</ns5:t>
            </ns5:r>
          </ns5:e>
          <ns5:sub>
            <ns5:r>
              <ns5:t>i</ns5:t>
            </ns5:r>
            <ns5:r>
              <ns5:rPr>
                <ns5:sty ns5:val="p"/>
              </ns5:rPr>
              <ns5:t>,</ns5:t>
            </ns5:r>
            <ns5:r>
              <ns5:t>j</ns5:t>
            </ns5:r>
          </ns5:sub>
        </ns5:sSub>
        <ns5:r>
          <ns5:rPr>
            <ns5:sty ns5:val="p"/>
          </ns5:rPr>
          <ns5:t>,</ns5:t>
        </ns5:r>
        <ns5:r>
          <ns5:t> </ns5:t>
        </ns5:r>
        <ns5:sSubSup>
          <ns5:e>
            <ns5:r>
              <ns5:t> </ns5:t>
            </ns5:r>
            <ns5:r>
              <ns5:t>μ</ns5:t>
            </ns5:r>
          </ns5:e>
          <ns5:sub>
            <ns5:r>
              <ns5:t>i</ns5:t>
            </ns5:r>
          </ns5:sub>
          <ns5:sup>
            <ns5:r>
              <ns5:rPr>
                <ns5:sty ns5:val="p"/>
              </ns5:rPr>
              <ns5:t>*</ns5:t>
            </ns5:r>
          </ns5:sup>
        </ns5:sSubSup>
        <ns5:r>
          <ns5:rPr>
            <ns5:sty ns5:val="p"/>
          </ns5:rPr>
          <ns5:t>=</ns5:t>
        </ns5:r>
        <ns5:f>
          <ns5:fPr>
            <ns5:type ns5:val="bar"/>
          </ns5:fPr>
          <ns5:num>
            <ns5:r>
              <ns5:t>1</ns5:t>
            </ns5:r>
          </ns5:num>
          <ns5:den>
            <ns5:r>
              <ns5:t>N</ns5:t>
            </ns5:r>
          </ns5:den>
        </ns5:f>
        <ns5:nary>
          <ns5:naryPr>
            <ns5:chr ns5:val="∑"/>
            <ns5:limLoc ns5:val="undOvr"/>
            <ns5:subHide ns5:val="off"/>
            <ns5:supHide ns5:val="off"/>
          </ns5:naryPr>
          <ns5:sub>
            <ns5:r>
              <ns5:t>j</ns5:t>
            </ns5:r>
            <ns5:r>
              <ns5:rPr>
                <ns5:sty ns5:val="p"/>
              </ns5:rPr>
              <ns5:t>=</ns5:t>
            </ns5:r>
            <ns5:r>
              <ns5:t>1</ns5:t>
            </ns5:r>
          </ns5:sub>
          <ns5:sup>
            <ns5:r>
              <ns5:t>N</ns5:t>
            </ns5:r>
          </ns5:sup>
          <ns5:e>
            <ns5:r>
              <ns5:t> </ns5:t>
            </ns5:r>
          </ns5:e>
        </ns5:nary>
        <ns5:r>
          <ns5:t> </ns5:t>
        </ns5:r>
        <ns5:r>
          <ns5:rPr>
            <ns5:sty ns5:val="p"/>
          </ns5:rPr>
          <ns5:t>|</ns5:t>
        </ns5:r>
        <ns5:r>
          <ns5:t>E</ns5:t>
        </ns5:r>
        <ns5:sSub>
          <ns5:e>
            <ns5:r>
              <ns5:t>E</ns5:t>
            </ns5:r>
          </ns5:e>
          <ns5:sub>
            <ns5:r>
              <ns5:t>i</ns5:t>
            </ns5:r>
            <ns5:r>
              <ns5:rPr>
                <ns5:sty ns5:val="p"/>
              </ns5:rPr>
              <ns5:t>,</ns5:t>
            </ns5:r>
            <ns5:r>
              <ns5:t>j</ns5:t>
            </ns5:r>
          </ns5:sub>
        </ns5:sSub>
        <ns5:r>
          <ns5:rPr>
            <ns5:sty ns5:val="p"/>
          </ns5:rPr>
          <ns5:t>|</ns5:t>
        </ns5:r>
      </ns5:oMath>
      <w:r>
        <w:tab/>
      </w:r>
      <w:r>
        <w:rPr>
          <w:rFonts w:ascii="Times New Roman" w:hAnsi="Times New Roman" w:eastAsia="Times New Roman" w:cs="Times New Roman"/>
          <w:sz w:val="24"/>
          <w:szCs w:val="24"/>
        </w:rPr>
        <w:t>(10)</w:t>
      </w:r>
    </w:p>
    <w:p>
      <w:pPr>
        <w:pStyle w:val="FirstParagraph"/>
        <w:spacing w:line="480" w:lineRule="auto"/>
        <w:tabs>
          <w:tab w:val="center" w:pos="4680"/>
          <w:tab w:val="right" w:pos="9360"/>
        </w:tabs>
        <w:jc w:val="left"/>
      </w:pPr>
      <w:r>
        <w:tab/>
      </w:r>
      <ns5:oMath>
        <ns5:sSub>
          <ns5:e>
            <ns5:r>
              <ns5:t>σ</ns5:t>
            </ns5:r>
          </ns5:e>
          <ns5:sub>
            <ns5:r>
              <ns5:t>i</ns5:t>
            </ns5:r>
          </ns5:sub>
        </ns5:sSub>
        <ns5:r>
          <ns5:rPr>
            <ns5:sty ns5:val="p"/>
          </ns5:rPr>
          <ns5:t>=</ns5:t>
        </ns5:r>
        <ns5:rad>
          <ns5:radPr>
            <ns5:degHide ns5:val="on"/>
          </ns5:radPr>
          <ns5:deg/>
          <ns5:e>
            <ns5:f>
              <ns5:fPr>
                <ns5:type ns5:val="bar"/>
              </ns5:fPr>
              <ns5:num>
                <ns5:r>
                  <ns5:t>1</ns5:t>
                </ns5:r>
              </ns5:num>
              <ns5:den>
                <ns5:r>
                  <ns5:t>N</ns5:t>
                </ns5:r>
                <ns5:r>
                  <ns5:rPr>
                    <ns5:sty ns5:val="p"/>
                  </ns5:rPr>
                  <ns5:t>−</ns5:t>
                </ns5:r>
                <ns5:r>
                  <ns5:t>1</ns5:t>
                </ns5:r>
              </ns5:den>
            </ns5:f>
            <ns5:nary>
              <ns5:naryPr>
                <ns5:chr ns5:val="∑"/>
                <ns5:limLoc ns5:val="undOvr"/>
                <ns5:subHide ns5:val="off"/>
                <ns5:supHide ns5:val="off"/>
              </ns5:naryPr>
              <ns5:sub>
                <ns5:r>
                  <ns5:t>j</ns5:t>
                </ns5:r>
                <ns5:r>
                  <ns5:rPr>
                    <ns5:sty ns5:val="p"/>
                  </ns5:rPr>
                  <ns5:t>=</ns5:t>
                </ns5:r>
                <ns5:r>
                  <ns5:t>1</ns5:t>
                </ns5:r>
              </ns5:sub>
              <ns5:sup>
                <ns5:r>
                  <ns5:t>N</ns5:t>
                </ns5:r>
              </ns5:sup>
              <ns5:e>
                <ns5:r>
                  <ns5:t> </ns5:t>
                </ns5:r>
              </ns5:e>
            </ns5:nary>
            <ns5:r>
              <ns5:t> </ns5:t>
            </ns5:r>
            <ns5:sSup>
              <ns5:e>
                <ns5:r>
                  <ns5:rPr>
                    <ns5:sty ns5:val="p"/>
                  </ns5:rPr>
                  <ns5:t>(</ns5:t>
                </ns5:r>
                <ns5:r>
                  <ns5:t>E</ns5:t>
                </ns5:r>
                <ns5:sSub>
                  <ns5:e>
                    <ns5:r>
                      <ns5:t>E</ns5:t>
                    </ns5:r>
                  </ns5:e>
                  <ns5:sub>
                    <ns5:r>
                      <ns5:t>i</ns5:t>
                    </ns5:r>
                    <ns5:r>
                      <ns5:rPr>
                        <ns5:sty ns5:val="p"/>
                      </ns5:rPr>
                      <ns5:t>,</ns5:t>
                    </ns5:r>
                    <ns5:r>
                      <ns5:t>j</ns5:t>
                    </ns5:r>
                  </ns5:sub>
                </ns5:sSub>
                <ns5:r>
                  <ns5:rPr>
                    <ns5:sty ns5:val="p"/>
                  </ns5:rPr>
                  <ns5:t>−</ns5:t>
                </ns5:r>
                <ns5:sSub>
                  <ns5:e>
                    <ns5:r>
                      <ns5:t>μ</ns5:t>
                    </ns5:r>
                  </ns5:e>
                  <ns5:sub>
                    <ns5:r>
                      <ns5:t>i</ns5:t>
                    </ns5:r>
                  </ns5:sub>
                </ns5:sSub>
                <ns5:r>
                  <ns5:rPr>
                    <ns5:sty ns5:val="p"/>
                  </ns5:rPr>
                  <ns5:t>)</ns5:t>
                </ns5:r>
              </ns5:e>
              <ns5:sup>
                <ns5:r>
                  <ns5:t>2</ns5:t>
                </ns5:r>
              </ns5:sup>
            </ns5:sSup>
          </ns5:e>
        </ns5:rad>
      </ns5:oMath>
      <w:r>
        <w:tab/>
      </w:r>
      <w:r>
        <w:rPr>
          <w:rFonts w:ascii="Times New Roman" w:hAnsi="Times New Roman" w:eastAsia="Times New Roman" w:cs="Times New Roman"/>
          <w:sz w:val="24"/>
          <w:szCs w:val="24"/>
        </w:rPr>
        <w:t>(11)</w:t>
      </w:r>
    </w:p>
    <w:p>
      <w:pPr>
        <w:pStyle w:val="FirstParagraph"/>
        <w:spacing w:line="480" w:lineRule="auto"/>
      </w:pPr>
      <w:r>
        <w:t xml:space="preserve">Among these,</w:t>
      </w:r>
      <w:r>
        <w:t xml:space="preserve"> </w:t>
      </w:r>
      <ns5:oMath>
        <ns5:sSubSup>
          <ns5:e>
            <ns5:r>
              <ns5:t>μ</ns5:t>
            </ns5:r>
          </ns5:e>
          <ns5:sub>
            <ns5:r>
              <ns5:t>i</ns5:t>
            </ns5:r>
          </ns5:sub>
          <ns5:sup>
            <ns5:r>
              <ns5:rPr>
                <ns5:sty ns5:val="p"/>
              </ns5:rPr>
              <ns5:t>*</ns5:t>
            </ns5:r>
          </ns5:sup>
        </ns5:sSubSup>
      </ns5:oMath>
      <w:r>
        <w:t xml:space="preserve"> </w:t>
      </w:r>
      <w:r>
        <w:t xml:space="preserve">represents the overall influence magnitude</w:t>
      </w:r>
      <w:r>
        <w:t xml:space="preserve"> </w:t>
      </w:r>
      <w:r>
        <w:t xml:space="preserve">of a parameter and serves as the primary indicator for identifying key</w:t>
      </w:r>
      <w:r>
        <w:t xml:space="preserve"> </w:t>
      </w:r>
      <w:r>
        <w:t xml:space="preserve">parameters;</w:t>
      </w:r>
      <w:r>
        <w:t xml:space="preserve"> </w:t>
      </w:r>
      <ns5:oMath>
        <ns5:sSub>
          <ns5:e>
            <ns5:r>
              <ns5:t>μ</ns5:t>
            </ns5:r>
          </ns5:e>
          <ns5:sub>
            <ns5:r>
              <ns5:t>i</ns5:t>
            </ns5:r>
          </ns5:sub>
        </ns5:sSub>
      </ns5:oMath>
      <w:r>
        <w:t xml:space="preserve"> </w:t>
      </w:r>
      <w:r>
        <w:t xml:space="preserve">reflects the directional effect (advancing or</w:t>
      </w:r>
      <w:r>
        <w:t xml:space="preserve"> </w:t>
      </w:r>
      <w:r>
        <w:t xml:space="preserve">delaying infection timing); and</w:t>
      </w:r>
      <w:r>
        <w:t xml:space="preserve"> </w:t>
      </w:r>
      <ns5:oMath>
        <ns5:sSub>
          <ns5:e>
            <ns5:r>
              <ns5:t>σ</ns5:t>
            </ns5:r>
          </ns5:e>
          <ns5:sub>
            <ns5:r>
              <ns5:t>i</ns5:t>
            </ns5:r>
          </ns5:sub>
        </ns5:sSub>
      </ns5:oMath>
      <w:r>
        <w:t xml:space="preserve"> </w:t>
      </w:r>
      <w:r>
        <w:t xml:space="preserve">captures nonlinear effects</w:t>
      </w:r>
      <w:r>
        <w:t xml:space="preserve"> </w:t>
      </w:r>
      <w:r>
        <w:t xml:space="preserve">and parameter interactions. Parameters were ranked according to</w:t>
      </w:r>
      <w:r>
        <w:t xml:space="preserve"> </w:t>
      </w:r>
      <ns5:oMath>
        <ns5:sSubSup>
          <ns5:e>
            <ns5:r>
              <ns5:t>μ</ns5:t>
            </ns5:r>
          </ns5:e>
          <ns5:sub>
            <ns5:r>
              <ns5:t>i</ns5:t>
            </ns5:r>
          </ns5:sub>
          <ns5:sup>
            <ns5:r>
              <ns5:rPr>
                <ns5:sty ns5:val="p"/>
              </ns5:rPr>
              <ns5:t>*</ns5:t>
            </ns5:r>
          </ns5:sup>
        </ns5:sSubSup>
      </ns5:oMath>
      <w:r>
        <w:t xml:space="preserve"> </w:t>
      </w:r>
      <w:r>
        <w:t xml:space="preserve">to support parameter screening and subsequent model</w:t>
      </w:r>
      <w:r>
        <w:t xml:space="preserve"> </w:t>
      </w:r>
      <w:r>
        <w:t xml:space="preserve">calibration.</w:t>
      </w:r>
    </w:p>
    <w:p>
      <w:pPr>
        <w:pStyle w:val="Normal"/>
        <w:spacing w:line="480" w:lineRule="auto"/>
      </w:pPr>
      <w:r>
        <w:t xml:space="preserve">Regarding parameterization, the FSIM parameter set</w:t>
      </w:r>
      <w:r>
        <w:t xml:space="preserve"> </w:t>
      </w:r>
      <w:r>
        <w:t xml:space="preserve">(</w:t>
      </w:r>
      <w:hyperlink w:anchor="X6abb9f593bd6a1cb499530223daee251383c682">
        <w:r>
          <w:rPr>
            <w:rStyle w:val="Hyperlink"/>
          </w:rPr>
          <w:t xml:space="preserve">Table 2</w:t>
        </w:r>
      </w:hyperlink>
      <w:r>
        <w:t xml:space="preserve">) largely inherits biologically</w:t>
      </w:r>
      <w:r>
        <w:t xml:space="preserve"> </w:t>
      </w:r>
      <w:r>
        <w:t xml:space="preserve">interpretable parameters from established grapevine downy mildew</w:t>
      </w:r>
      <w:r>
        <w:t xml:space="preserve"> </w:t>
      </w:r>
      <w:r>
        <w:t xml:space="preserve">mechanistic models, with selected parameter ranges adjusted based on</w:t>
      </w:r>
      <w:r>
        <w:t xml:space="preserve"> </w:t>
      </w:r>
      <w:r>
        <w:t xml:space="preserve">subtropical vineyard observations. The FSIM-S model further introduces</w:t>
      </w:r>
      <w:r>
        <w:t xml:space="preserve"> </w:t>
      </w:r>
      <w:r>
        <w:t xml:space="preserve">spore-pressure adjustment parameters (</w:t>
      </w:r>
      <w:hyperlink w:anchor="X6abb9f593bd6a1cb499530223daee251383c682">
        <w:r>
          <w:rPr>
            <w:rStyle w:val="Hyperlink"/>
          </w:rPr>
          <w:t xml:space="preserve">Table 2</w:t>
        </w:r>
      </w:hyperlink>
      <w:r>
        <w:t xml:space="preserve">)</w:t>
      </w:r>
      <w:r>
        <w:t xml:space="preserve"> </w:t>
      </w:r>
      <w:r>
        <w:t xml:space="preserve">to account for dynamic modulation of infection triggering thresholds by</w:t>
      </w:r>
      <w:r>
        <w:t xml:space="preserve"> </w:t>
      </w:r>
      <w:r>
        <w:t xml:space="preserve">airborne inoculum pressure. Comparing sensitivity structures under a</w:t>
      </w:r>
      <w:r>
        <w:t xml:space="preserve"> </w:t>
      </w:r>
      <w:r>
        <w:t xml:space="preserve">unified analytical framework enables quantitative assessment of how</w:t>
      </w:r>
      <w:r>
        <w:t xml:space="preserve"> </w:t>
      </w:r>
      <w:r>
        <w:t xml:space="preserve">incorporation of spore information modifies parameter control patterns</w:t>
      </w:r>
      <w:r>
        <w:t xml:space="preserve"> </w:t>
      </w:r>
      <w:r>
        <w:t xml:space="preserve">and supports subsequent model refinement and calibration.</w:t>
      </w:r>
    </w:p>
    <w:p>
      <w:pPr>
        <w:pStyle w:val="Normal"/>
        <w:spacing w:line="480" w:lineRule="auto"/>
      </w:pPr>
      <w:bookmarkStart w:id="49" w:name="X6abb9f593bd6a1cb499530223daee251383c682"/>
      <w:bookmarkEnd w:id="49"/>
    </w:p>
    <w:p>
      <w:pPr>
        <w:pStyle w:val="TableCaption"/>
        <w:jc w:val="center"/>
        <w:ind w:left="0" w:hanging="0"/>
      </w:pPr>
      <w:r>
        <w:rPr>
          <w:rFonts w:ascii="Times New Roman" w:hAnsi="Times New Roman" w:eastAsia="Times New Roman" w:cs="Times New Roman"/>
          <w:sz w:val="20"/>
          <w:szCs w:val="20"/>
          <w:i/>
          <w:iCs/>
        </w:rPr>
        <w:t xml:space="preserve">Table 2. Model parameters under the FSIM and FSIM-S frameworks. FSIM denotes the baseline model, whereas FSIM-S represents the extended version incorporating regulation by an observed spore-pressure field.</w:t>
      </w:r>
    </w:p>
    <w:tbl>
      <w:tblPr>
        <w:tblStyle w:val="Table"/>
        <w:tblW w:type="pct" w:w="5000"/>
        <w:tblLook w:firstRow="1" w:lastRow="0" w:firstColumn="0" w:lastColumn="0" w:noHBand="0" w:noVBand="0" w:val="0020"/>
        <w:jc w:val="center"/>
        <w:tblBorders>
          <w:top w:val="single" w:sz="12" w:space="0" w:color="auto"/>
          <w:bottom w:val="single" w:sz="12" w:space="0" w:color="auto"/>
          <w:left w:val="nil"/>
          <w:right w:val="nil"/>
          <w:insideH w:val="nil"/>
          <w:insideV w:val="nil"/>
        </w:tblBorders>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Parameter</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Abbreviation</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FSIM</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FSIM-S</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Unit</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Description</w:t>
            </w: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Mp_tmp__rh_wet_night</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MTWN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87.5894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83.6223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Night-time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relative humidity threshold used to define wet-night conditions for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sporulation initiation.</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Sporulation__MP_min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SMMI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4.3106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5.1741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hours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VPD threshold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representing Minimum cumulative wet-night hours required to trigger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sporulation.</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Sporulation__Tmin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STMI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13.9426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11.8061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°C</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Lower temperature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limit for sporulation response.</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Sporulation__Topt</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STOP</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25.4161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19.3980</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°C</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Optimum</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temperature for sporulation intensity.</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Sporulation__Tmax</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STMX</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35.2136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35.0492</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°C</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Upper temperature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limit for sporulation response.</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Dispersal__rain_min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DIRM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12.4525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12.3417</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Rainfall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threshold triggering rain-driven sporangial dispersal.</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Dispersal__wind_min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DIWM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6.4975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6.2638</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Wind-speed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threshold triggering wind-driven sporangial dispersal.</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Deposition__rain_min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DERM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5.1413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6.0721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Rainfall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threshold controlling deposition/washout of airborne propagules.</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Zoospore_alive__rain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ZARA</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4.0835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5.3267</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Rainfall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condition threshold used in zoospore survival gating.</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Zoospore_alive__vpd</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ZVPD</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1.9396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1.9674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kPa</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Vapor pressure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deficit threshold used in zoospore survival gating.</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Infection__infection_condition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IC</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25.4409</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81.4294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Infection requirement threshold.</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Incubation__spl_spores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ISED</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1.1063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0.9361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Cumulative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incubation progress threshold for visible oil-spot onset.</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Thresholds__min_spores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TMSO</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0.0431</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0.1016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Minimum viable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spore amount retained for process continuity.</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Spore__alpha_pos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SAP</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1.2849</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Positive spore-pressure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coefficient; decreases effective infection threshold under favourable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spore pressure.</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Spore__alpha_neg</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SAN</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0.6306</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Negative spore-pressure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coefficient; increases effective infection threshold under suppressive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spore pressure.</w:t>
            </w: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r>
    </w:tbl>
    <w:bookmarkEnd w:id="50"/>
    <w:bookmarkStart w:id="55" w:name="model-calibration-and-evaluation"/>
    <w:p>
      <w:pPr>
        <w:pStyle w:val="Heading2"/>
      </w:pPr>
      <w:r>
        <w:t xml:space="preserve">Model calibration and</w:t>
      </w:r>
      <w:r>
        <w:t xml:space="preserve"> </w:t>
      </w:r>
      <w:r>
        <w:t xml:space="preserve">evaluation</w:t>
      </w:r>
    </w:p>
    <w:p>
      <w:pPr>
        <w:pStyle w:val="FirstParagraph"/>
        <w:spacing w:line="480" w:lineRule="auto"/>
      </w:pPr>
      <w:r>
        <w:t xml:space="preserve">To assess the temporal predictive capability and applicability of the</w:t>
      </w:r>
      <w:r>
        <w:t xml:space="preserve"> </w:t>
      </w:r>
      <w:r>
        <w:rPr>
          <w:i/>
          <w:iCs/>
        </w:rPr>
        <w:t xml:space="preserve">First Seasonal Infection Model</w:t>
      </w:r>
      <w:r>
        <w:t xml:space="preserve"> </w:t>
      </w:r>
      <w:r>
        <w:t xml:space="preserve">(FSIM) and its spore-constrained</w:t>
      </w:r>
      <w:r>
        <w:t xml:space="preserve"> </w:t>
      </w:r>
      <w:r>
        <w:t xml:space="preserve">extension (FSIM-S) under humid subtropical vineyard conditions,</w:t>
      </w:r>
      <w:r>
        <w:t xml:space="preserve"> </w:t>
      </w:r>
      <w:r>
        <w:t xml:space="preserve">parameter calibration and model evaluation were conducted within a</w:t>
      </w:r>
      <w:r>
        <w:t xml:space="preserve"> </w:t>
      </w:r>
      <w:r>
        <w:t xml:space="preserve">unified methodological framework. Both models employed identical</w:t>
      </w:r>
      <w:r>
        <w:t xml:space="preserve"> </w:t>
      </w:r>
      <w:r>
        <w:t xml:space="preserve">calibration strategies and evaluation metrics, while FSIM-S additionally</w:t>
      </w:r>
      <w:r>
        <w:t xml:space="preserve"> </w:t>
      </w:r>
      <w:r>
        <w:t xml:space="preserve">incorporated a spore-pressure field derived from airborne sporangia</w:t>
      </w:r>
      <w:r>
        <w:t xml:space="preserve"> </w:t>
      </w:r>
      <w:r>
        <w:t xml:space="preserve">observations together with associated adjustment parameters, allowing</w:t>
      </w:r>
      <w:r>
        <w:t xml:space="preserve"> </w:t>
      </w:r>
      <w:r>
        <w:t xml:space="preserve">quantitative assessment of the effect of incorporating inoculum</w:t>
      </w:r>
      <w:r>
        <w:t xml:space="preserve"> </w:t>
      </w:r>
      <w:r>
        <w:t xml:space="preserve">information into the infection simulation process.</w:t>
      </w:r>
    </w:p>
    <w:bookmarkStart w:id="51" w:name="calibration-strategy"/>
    <w:p>
      <w:pPr>
        <w:pStyle w:val="Heading3"/>
      </w:pPr>
      <w:r>
        <w:t xml:space="preserve">Calibration strategy</w:t>
      </w:r>
    </w:p>
    <w:p>
      <w:pPr>
        <w:pStyle w:val="FirstParagraph"/>
        <w:spacing w:line="480" w:lineRule="auto"/>
      </w:pPr>
      <w:r>
        <w:t xml:space="preserve">Model parameters were optimized using Bayesian optimization based on the</w:t>
      </w:r>
      <w:r>
        <w:t xml:space="preserve"> </w:t>
      </w:r>
      <w:r>
        <w:t xml:space="preserve">Tree-structured Parzen Estimator (TPE) approach (Bergstra et al., 2011),</w:t>
      </w:r>
      <w:r>
        <w:t xml:space="preserve"> </w:t>
      </w:r>
      <w:r>
        <w:t xml:space="preserve">which enables efficient exploration of high-dimensional parameter spaces</w:t>
      </w:r>
      <w:r>
        <w:t xml:space="preserve"> </w:t>
      </w:r>
      <w:r>
        <w:t xml:space="preserve">through probabilistic modelling. The optimization objective was defined</w:t>
      </w:r>
      <w:r>
        <w:t xml:space="preserve"> </w:t>
      </w:r>
      <w:r>
        <w:t xml:space="preserve">as minimization of the mean absolute error (MAE) in predicted</w:t>
      </w:r>
      <w:r>
        <w:t xml:space="preserve"> </w:t>
      </w:r>
      <w:r>
        <w:t xml:space="preserve">first-infection timing. Given the relatively large parameter space and</w:t>
      </w:r>
      <w:r>
        <w:t xml:space="preserve"> </w:t>
      </w:r>
      <w:r>
        <w:t xml:space="preserve">the potential multimodality of the objective function, extensive</w:t>
      </w:r>
      <w:r>
        <w:t xml:space="preserve"> </w:t>
      </w:r>
      <w:r>
        <w:t xml:space="preserve">parameter exploration was performed (approximately</w:t>
      </w:r>
      <w:r>
        <w:t xml:space="preserve"> </w:t>
      </w:r>
      <ns5:oMath>
        <ns5:r>
          <ns5:t>2</ns5:t>
        </ns5:r>
        <ns5:r>
          <ns5:rPr>
            <ns5:sty ns5:val="p"/>
          </ns5:rPr>
          <ns5:t>×</ns5:t>
        </ns5:r>
        <ns5:sSup>
          <ns5:e>
            <ns5:r>
              <ns5:t>10</ns5:t>
            </ns5:r>
          </ns5:e>
          <ns5:sup>
            <ns5:r>
              <ns5:t>4</ns5:t>
            </ns5:r>
          </ns5:sup>
        </ns5:sSup>
      </ns5:oMath>
      <w:r>
        <w:t xml:space="preserve"> </w:t>
      </w:r>
      <w:r>
        <w:t xml:space="preserve">trials for the baseline model and</w:t>
      </w:r>
      <w:r>
        <w:t xml:space="preserve"> </w:t>
      </w:r>
      <ns5:oMath>
        <ns5:r>
          <ns5:t>3</ns5:t>
        </ns5:r>
        <ns5:r>
          <ns5:rPr>
            <ns5:sty ns5:val="p"/>
          </ns5:rPr>
          <ns5:t>×</ns5:t>
        </ns5:r>
        <ns5:sSup>
          <ns5:e>
            <ns5:r>
              <ns5:t>10</ns5:t>
            </ns5:r>
          </ns5:e>
          <ns5:sup>
            <ns5:r>
              <ns5:t>4</ns5:t>
            </ns5:r>
          </ns5:sup>
        </ns5:sSup>
      </ns5:oMath>
      <w:r>
        <w:t xml:space="preserve"> </w:t>
      </w:r>
      <w:r>
        <w:t xml:space="preserve">trials for the</w:t>
      </w:r>
      <w:r>
        <w:t xml:space="preserve"> </w:t>
      </w:r>
      <w:r>
        <w:t xml:space="preserve">spore-constrained model).</w:t>
      </w:r>
    </w:p>
    <w:p>
      <w:pPr>
        <w:pStyle w:val="Normal"/>
        <w:spacing w:line="480" w:lineRule="auto"/>
      </w:pPr>
      <w:r>
        <w:t xml:space="preserve">To enhance robustness of parameter selection, approximately the top 5%</w:t>
      </w:r>
      <w:r>
        <w:t xml:space="preserve"> </w:t>
      </w:r>
      <w:r>
        <w:t xml:space="preserve">of high-performing candidate parameter sets identified during</w:t>
      </w:r>
      <w:r>
        <w:t xml:space="preserve"> </w:t>
      </w:r>
      <w:r>
        <w:t xml:space="preserve">optimization were retained for subsequent comparative evaluation. This</w:t>
      </w:r>
      <w:r>
        <w:t xml:space="preserve"> </w:t>
      </w:r>
      <w:r>
        <w:t xml:space="preserve">strategy reduces the risk of overfitting and avoids overlooking</w:t>
      </w:r>
      <w:r>
        <w:t xml:space="preserve"> </w:t>
      </w:r>
      <w:r>
        <w:t xml:space="preserve">near-optimal solutions.</w:t>
      </w:r>
    </w:p>
    <w:p>
      <w:pPr>
        <w:pStyle w:val="Normal"/>
        <w:spacing w:line="480" w:lineRule="auto"/>
      </w:pPr>
      <w:r>
        <w:t xml:space="preserve">Compared with the baseline FSIM, the FSIM-S model maintains the same</w:t>
      </w:r>
      <w:r>
        <w:t xml:space="preserve"> </w:t>
      </w:r>
      <w:r>
        <w:t xml:space="preserve">mechanistic infection framework while incorporating a daily airborne</w:t>
      </w:r>
      <w:r>
        <w:t xml:space="preserve"> </w:t>
      </w:r>
      <w:r>
        <w:t xml:space="preserve">spore-pressure field derived from field observations. Additional</w:t>
      </w:r>
      <w:r>
        <w:t xml:space="preserve"> </w:t>
      </w:r>
      <w:r>
        <w:t xml:space="preserve">parameters were introduced to dynamically adjust infection-triggering</w:t>
      </w:r>
      <w:r>
        <w:t xml:space="preserve"> </w:t>
      </w:r>
      <w:r>
        <w:t xml:space="preserve">thresholds according to inoculum pressure. Apart from these</w:t>
      </w:r>
      <w:r>
        <w:t xml:space="preserve"> </w:t>
      </w:r>
      <w:r>
        <w:t xml:space="preserve">spore-related parameters, both models used identical meteorological</w:t>
      </w:r>
      <w:r>
        <w:t xml:space="preserve"> </w:t>
      </w:r>
      <w:r>
        <w:t xml:space="preserve">drivers, biological process formulations, and calibration procedures to</w:t>
      </w:r>
      <w:r>
        <w:t xml:space="preserve"> </w:t>
      </w:r>
      <w:r>
        <w:t xml:space="preserve">ensure comparability of predictive performance. Parameter ranges were</w:t>
      </w:r>
      <w:r>
        <w:t xml:space="preserve"> </w:t>
      </w:r>
      <w:r>
        <w:t xml:space="preserve">constrained based on biologically plausible values derived from previous</w:t>
      </w:r>
      <w:r>
        <w:t xml:space="preserve"> </w:t>
      </w:r>
      <w:r>
        <w:t xml:space="preserve">mechanistic studies and field observations to maintain ecological</w:t>
      </w:r>
      <w:r>
        <w:t xml:space="preserve"> </w:t>
      </w:r>
      <w:r>
        <w:t xml:space="preserve">realism.</w:t>
      </w:r>
    </w:p>
    <w:bookmarkEnd w:id="51"/>
    <w:bookmarkStart w:id="52" w:name="performance-metrics"/>
    <w:p>
      <w:pPr>
        <w:pStyle w:val="Heading3"/>
      </w:pPr>
      <w:r>
        <w:t xml:space="preserve">Performance metrics</w:t>
      </w:r>
    </w:p>
    <w:p>
      <w:pPr>
        <w:pStyle w:val="FirstParagraph"/>
        <w:spacing w:line="480" w:lineRule="auto"/>
      </w:pPr>
      <w:r>
        <w:t xml:space="preserve">Model performance was primarily evaluated using temporal prediction</w:t>
      </w:r>
      <w:r>
        <w:t xml:space="preserve"> </w:t>
      </w:r>
      <w:r>
        <w:t xml:space="preserve">error metrics. Mean absolute error (MAE) and root mean square error</w:t>
      </w:r>
      <w:r>
        <w:t xml:space="preserve"> </w:t>
      </w:r>
      <w:r>
        <w:t xml:space="preserve">(RMSE) were calculated to quantify overall prediction accuracy and</w:t>
      </w:r>
      <w:r>
        <w:t xml:space="preserve"> </w:t>
      </w:r>
      <w:r>
        <w:t xml:space="preserve">sensitivity to large deviations:</w:t>
      </w:r>
    </w:p>
    <w:p>
      <w:pPr>
        <w:pStyle w:val="Normal"/>
        <w:spacing w:line="480" w:lineRule="auto"/>
        <w:tabs>
          <w:tab w:val="center" w:pos="4680"/>
          <w:tab w:val="right" w:pos="9360"/>
        </w:tabs>
        <w:jc w:val="left"/>
      </w:pPr>
      <w:r>
        <w:tab/>
      </w:r>
      <ns5:oMath>
        <ns5:r>
          <ns5:t>M</ns5:t>
        </ns5:r>
        <ns5:r>
          <ns5:t>A</ns5:t>
        </ns5:r>
        <ns5:r>
          <ns5:t>E</ns5:t>
        </ns5:r>
        <ns5:r>
          <ns5:rPr>
            <ns5:sty ns5:val="p"/>
          </ns5:rPr>
          <ns5:t>=</ns5:t>
        </ns5:r>
        <ns5:f>
          <ns5:fPr>
            <ns5:type ns5:val="bar"/>
          </ns5:fPr>
          <ns5:num>
            <ns5:r>
              <ns5:t>1</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r>
              <ns5:t> </ns5:t>
            </ns5:r>
          </ns5:e>
        </ns5:nary>
        <ns5:r>
          <ns5:t> </ns5:t>
        </ns5:r>
        <ns5:d>
          <ns5:dPr>
            <ns5:begChr ns5:val="|"/>
            <ns5:sepChr ns5:val=""/>
            <ns5:endChr ns5:val="|"/>
            <ns5:grow/>
          </ns5:dPr>
          <ns5:e>
            <ns5:sSub>
              <ns5:e>
                <ns5:r>
                  <ns5:t>y</ns5:t>
                </ns5:r>
              </ns5:e>
              <ns5:sub>
                <ns5:r>
                  <ns5:t>i</ns5:t>
                </ns5:r>
              </ns5:sub>
            </ns5:sSub>
            <ns5:r>
              <ns5:rPr>
                <ns5:sty ns5:val="p"/>
              </ns5:rPr>
              <ns5:t>−</ns5:t>
            </ns5:r>
            <ns5:sSub>
              <ns5:e>
                <ns5:acc>
                  <ns5:accPr>
                    <ns5:chr ns5:val="̂"/>
                  </ns5:accPr>
                  <ns5:e>
                    <ns5:r>
                      <ns5:t>y</ns5:t>
                    </ns5:r>
                  </ns5:e>
                </ns5:acc>
              </ns5:e>
              <ns5:sub>
                <ns5:r>
                  <ns5:t>i</ns5:t>
                </ns5:r>
              </ns5:sub>
            </ns5:sSub>
          </ns5:e>
        </ns5:d>
      </ns5:oMath>
      <w:r>
        <w:tab/>
      </w:r>
      <w:r>
        <w:rPr>
          <w:rFonts w:ascii="Times New Roman" w:hAnsi="Times New Roman" w:eastAsia="Times New Roman" w:cs="Times New Roman"/>
          <w:sz w:val="24"/>
          <w:szCs w:val="24"/>
        </w:rPr>
        <w:t>(12)</w:t>
      </w:r>
    </w:p>
    <w:p>
      <w:pPr>
        <w:pStyle w:val="FirstParagraph"/>
        <w:spacing w:line="480" w:lineRule="auto"/>
        <w:tabs>
          <w:tab w:val="center" w:pos="4680"/>
          <w:tab w:val="right" w:pos="9360"/>
        </w:tabs>
        <w:jc w:val="left"/>
      </w:pPr>
      <w:r>
        <w:tab/>
      </w:r>
      <ns5:oMath>
        <ns5:r>
          <ns5:t>R</ns5:t>
        </ns5:r>
        <ns5:r>
          <ns5:t>M</ns5:t>
        </ns5:r>
        <ns5:r>
          <ns5:t>S</ns5:t>
        </ns5:r>
        <ns5:r>
          <ns5:t>E</ns5:t>
        </ns5:r>
        <ns5:r>
          <ns5:rPr>
            <ns5:sty ns5:val="p"/>
          </ns5:rPr>
          <ns5:t>=</ns5:t>
        </ns5:r>
        <ns5:rad>
          <ns5:radPr>
            <ns5:degHide ns5:val="on"/>
          </ns5:radPr>
          <ns5:deg/>
          <ns5:e>
            <ns5:f>
              <ns5:fPr>
                <ns5:type ns5:val="bar"/>
              </ns5:fPr>
              <ns5:num>
                <ns5:r>
                  <ns5:t>1</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r>
                  <ns5:t> </ns5:t>
                </ns5:r>
              </ns5:e>
            </ns5:nary>
            <ns5:r>
              <ns5:t> </ns5:t>
            </ns5:r>
            <ns5:sSup>
              <ns5:e>
                <ns5:d>
                  <ns5:dPr>
                    <ns5:begChr ns5:val="("/>
                    <ns5:sepChr ns5:val=""/>
                    <ns5:endChr ns5:val=")"/>
                    <ns5:grow/>
                  </ns5:dPr>
                  <ns5:e>
                    <ns5:sSub>
                      <ns5:e>
                        <ns5:r>
                          <ns5:t>y</ns5:t>
                        </ns5:r>
                      </ns5:e>
                      <ns5:sub>
                        <ns5:r>
                          <ns5:t>i</ns5:t>
                        </ns5:r>
                      </ns5:sub>
                    </ns5:sSub>
                    <ns5:r>
                      <ns5:rPr>
                        <ns5:sty ns5:val="p"/>
                      </ns5:rPr>
                      <ns5:t>−</ns5:t>
                    </ns5:r>
                    <ns5:sSub>
                      <ns5:e>
                        <ns5:acc>
                          <ns5:accPr>
                            <ns5:chr ns5:val="̂"/>
                          </ns5:accPr>
                          <ns5:e>
                            <ns5:r>
                              <ns5:t>y</ns5:t>
                            </ns5:r>
                          </ns5:e>
                        </ns5:acc>
                      </ns5:e>
                      <ns5:sub>
                        <ns5:r>
                          <ns5:t>i</ns5:t>
                        </ns5:r>
                      </ns5:sub>
                    </ns5:sSub>
                  </ns5:e>
                </ns5:d>
              </ns5:e>
              <ns5:sup>
                <ns5:r>
                  <ns5:t>2</ns5:t>
                </ns5:r>
              </ns5:sup>
            </ns5:sSup>
          </ns5:e>
        </ns5:rad>
      </ns5:oMath>
      <w:r>
        <w:tab/>
      </w:r>
      <w:r>
        <w:rPr>
          <w:rFonts w:ascii="Times New Roman" w:hAnsi="Times New Roman" w:eastAsia="Times New Roman" w:cs="Times New Roman"/>
          <w:sz w:val="24"/>
          <w:szCs w:val="24"/>
        </w:rPr>
        <w:t>(13)</w:t>
      </w:r>
    </w:p>
    <w:p>
      <w:pPr>
        <w:pStyle w:val="FirstParagraph"/>
        <w:spacing w:line="480" w:lineRule="auto"/>
      </w:pPr>
      <w:r>
        <w:t xml:space="preserve">where</w:t>
      </w:r>
      <w:r>
        <w:t xml:space="preserve"> </w:t>
      </w:r>
      <ns5:oMath>
        <ns5:sSub>
          <ns5:e>
            <ns5:r>
              <ns5:t>y</ns5:t>
            </ns5:r>
          </ns5:e>
          <ns5:sub>
            <ns5:r>
              <ns5:t>i</ns5:t>
            </ns5:r>
          </ns5:sub>
        </ns5:sSub>
      </ns5:oMath>
      <w:r>
        <w:t xml:space="preserve"> </w:t>
      </w:r>
      <w:r>
        <w:t xml:space="preserve">and</w:t>
      </w:r>
      <w:r>
        <w:t xml:space="preserve"> </w:t>
      </w:r>
      <ns5:oMath>
        <ns5:sSub>
          <ns5:e>
            <ns5:acc>
              <ns5:accPr>
                <ns5:chr ns5:val="̂"/>
              </ns5:accPr>
              <ns5:e>
                <ns5:r>
                  <ns5:t>y</ns5:t>
                </ns5:r>
              </ns5:e>
            </ns5:acc>
          </ns5:e>
          <ns5:sub>
            <ns5:r>
              <ns5:t>i</ns5:t>
            </ns5:r>
          </ns5:sub>
        </ns5:sSub>
      </ns5:oMath>
      <w:r>
        <w:t xml:space="preserve"> </w:t>
      </w:r>
      <w:r>
        <w:t xml:space="preserve">denote observed and simulated</w:t>
      </w:r>
      <w:r>
        <w:t xml:space="preserve"> </w:t>
      </w:r>
      <w:r>
        <w:t xml:space="preserve">first-infection dates expressed as day-of-year (DOY), respectively, and</w:t>
      </w:r>
      <w:r>
        <w:t xml:space="preserve"> </w:t>
      </w:r>
      <ns5:oMath>
        <ns5:r>
          <ns5:t>n</ns5:t>
        </ns5:r>
      </ns5:oMath>
      <w:r>
        <w:t xml:space="preserve"> </w:t>
      </w:r>
      <w:r>
        <w:t xml:space="preserve">is the number of observations.</w:t>
      </w:r>
    </w:p>
    <w:p>
      <w:pPr>
        <w:pStyle w:val="Normal"/>
        <w:spacing w:line="480" w:lineRule="auto"/>
      </w:pPr>
      <w:r>
        <w:t xml:space="preserve">When no effective infection event was simulated or numerical anomalies</w:t>
      </w:r>
      <w:r>
        <w:t xml:space="preserve"> </w:t>
      </w:r>
      <w:r>
        <w:t xml:space="preserve">occurred, a fixed penalty error of 120 days was assigned. This value</w:t>
      </w:r>
      <w:r>
        <w:t xml:space="preserve"> </w:t>
      </w:r>
      <w:r>
        <w:t xml:space="preserve">substantially exceeds the plausible temporal range for first seasonal</w:t>
      </w:r>
      <w:r>
        <w:t xml:space="preserve"> </w:t>
      </w:r>
      <w:r>
        <w:t xml:space="preserve">infection within a single growing season and was applied to ensure</w:t>
      </w:r>
      <w:r>
        <w:t xml:space="preserve"> </w:t>
      </w:r>
      <w:r>
        <w:t xml:space="preserve">consistent penalization of missed infection events during statistical</w:t>
      </w:r>
      <w:r>
        <w:t xml:space="preserve"> </w:t>
      </w:r>
      <w:r>
        <w:t xml:space="preserve">comparison.</w:t>
      </w:r>
    </w:p>
    <w:bookmarkEnd w:id="52"/>
    <w:bookmarkStart w:id="53" w:name="X04b1fb8c7d11fc556c989b7e9a0e0b2fd84ec56"/>
    <w:p>
      <w:pPr>
        <w:pStyle w:val="Heading3"/>
      </w:pPr>
      <w:r>
        <w:t xml:space="preserve">Cross-validation and robustness</w:t>
      </w:r>
      <w:r>
        <w:t xml:space="preserve"> </w:t>
      </w:r>
      <w:r>
        <w:t xml:space="preserve">assessment</w:t>
      </w:r>
    </w:p>
    <w:p>
      <w:pPr>
        <w:pStyle w:val="FirstParagraph"/>
        <w:spacing w:line="480" w:lineRule="auto"/>
      </w:pPr>
      <w:r>
        <w:t xml:space="preserve">To avoid bias associated with fixed training–validation splits, a</w:t>
      </w:r>
      <w:r>
        <w:t xml:space="preserve"> </w:t>
      </w:r>
      <w:r>
        <w:t xml:space="preserve">three-fold cross-validation scheme was applied in which site-year</w:t>
      </w:r>
      <w:r>
        <w:t xml:space="preserve"> </w:t>
      </w:r>
      <w:r>
        <w:t xml:space="preserve">datasets were randomly partitioned into three subsets, each serving once</w:t>
      </w:r>
      <w:r>
        <w:t xml:space="preserve"> </w:t>
      </w:r>
      <w:r>
        <w:t xml:space="preserve">as validation data while the remaining subsets were used for</w:t>
      </w:r>
      <w:r>
        <w:t xml:space="preserve"> </w:t>
      </w:r>
      <w:r>
        <w:t xml:space="preserve">calibration.</w:t>
      </w:r>
    </w:p>
    <w:p>
      <w:pPr>
        <w:pStyle w:val="Normal"/>
        <w:spacing w:line="480" w:lineRule="auto"/>
      </w:pPr>
      <w:r>
        <w:t xml:space="preserve">To ensure reproducibility of parameter optimization, a fixed random seed</w:t>
      </w:r>
      <w:r>
        <w:t xml:space="preserve"> </w:t>
      </w:r>
      <w:r>
        <w:t xml:space="preserve">(seed = 42) was used for data partitioning and optimization</w:t>
      </w:r>
      <w:r>
        <w:t xml:space="preserve"> </w:t>
      </w:r>
      <w:r>
        <w:t xml:space="preserve">initialization. Final model performance was summarized using</w:t>
      </w:r>
      <w:r>
        <w:t xml:space="preserve"> </w:t>
      </w:r>
      <w:r>
        <w:t xml:space="preserve">fold-averaged MAE and RMSE values, with corresponding standard</w:t>
      </w:r>
      <w:r>
        <w:t xml:space="preserve"> </w:t>
      </w:r>
      <w:r>
        <w:t xml:space="preserve">deviations reported to reflect predictive stability and cross-site</w:t>
      </w:r>
      <w:r>
        <w:t xml:space="preserve"> </w:t>
      </w:r>
      <w:r>
        <w:t xml:space="preserve">generalizability.</w:t>
      </w:r>
    </w:p>
    <w:bookmarkEnd w:id="53"/>
    <w:bookmarkStart w:id="54" w:name="X063d7d503c091082e47e4a38cbc398a257611f4"/>
    <w:p>
      <w:pPr>
        <w:pStyle w:val="Heading3"/>
      </w:pPr>
      <w:r>
        <w:t xml:space="preserve">Selection of global parameter</w:t>
      </w:r>
      <w:r>
        <w:t xml:space="preserve"> </w:t>
      </w:r>
      <w:r>
        <w:t xml:space="preserve">configuration</w:t>
      </w:r>
    </w:p>
    <w:p>
      <w:pPr>
        <w:pStyle w:val="FirstParagraph"/>
        <w:spacing w:line="480" w:lineRule="auto"/>
      </w:pPr>
      <w:r>
        <w:t xml:space="preserve">To obtain a single deterministic model configuration for site–year</w:t>
      </w:r>
      <w:r>
        <w:t xml:space="preserve"> </w:t>
      </w:r>
      <w:r>
        <w:t xml:space="preserve">simulations, the fold-specific best parameter sets (those achieving the</w:t>
      </w:r>
      <w:r>
        <w:t xml:space="preserve"> </w:t>
      </w:r>
      <w:r>
        <w:t xml:space="preserve">lowest validation MAE within each fold) were evaluated on the full</w:t>
      </w:r>
      <w:r>
        <w:t xml:space="preserve"> </w:t>
      </w:r>
      <w:r>
        <w:t xml:space="preserve">dataset. The configuration yielding the lowest overall MAE was selected</w:t>
      </w:r>
      <w:r>
        <w:t xml:space="preserve"> </w:t>
      </w:r>
      <w:r>
        <w:t xml:space="preserve">as the final global parameter set. Direct averaging of parameters across</w:t>
      </w:r>
      <w:r>
        <w:t xml:space="preserve"> </w:t>
      </w:r>
      <w:r>
        <w:t xml:space="preserve">folds was avoided, as it led to substantial error inflation due to the</w:t>
      </w:r>
      <w:r>
        <w:t xml:space="preserve"> </w:t>
      </w:r>
      <w:r>
        <w:t xml:space="preserve">non-convex nature of the objective function and the presence of multiple</w:t>
      </w:r>
      <w:r>
        <w:t xml:space="preserve"> </w:t>
      </w:r>
      <w:r>
        <w:t xml:space="preserve">near-optimal parameter regions.</w:t>
      </w:r>
    </w:p>
    <w:bookmarkEnd w:id="54"/>
    <w:bookmarkEnd w:id="55"/>
    <w:bookmarkStart w:id="62" w:name="X2bca146b59fb1fdc16c01d78f86fcf8be2a349a"/>
    <w:p>
      <w:pPr>
        <w:pStyle w:val="Heading2"/>
      </w:pPr>
      <w:r>
        <w:t xml:space="preserve">Regional simulation and disease-management scenario</w:t>
      </w:r>
      <w:r>
        <w:t xml:space="preserve"> </w:t>
      </w:r>
      <w:r>
        <w:t xml:space="preserve">analysis</w:t>
      </w:r>
    </w:p>
    <w:p>
      <w:pPr>
        <w:pStyle w:val="FirstParagraph"/>
        <w:spacing w:line="480" w:lineRule="auto"/>
      </w:pPr>
      <w:r>
        <w:t xml:space="preserve">To evaluate the applicability of the FSIM-S model at the regional scale</w:t>
      </w:r>
      <w:r>
        <w:t xml:space="preserve"> </w:t>
      </w:r>
      <w:r>
        <w:t xml:space="preserve">and its potential value for risk-based disease management, regional</w:t>
      </w:r>
      <w:r>
        <w:t xml:space="preserve"> </w:t>
      </w:r>
      <w:r>
        <w:t xml:space="preserve">simulations were conducted across Guangxi Province for the period</w:t>
      </w:r>
      <w:r>
        <w:t xml:space="preserve"> </w:t>
      </w:r>
      <w:r>
        <w:t xml:space="preserve">2000–2024. Given the limited spatial coverage of field observations and</w:t>
      </w:r>
      <w:r>
        <w:t xml:space="preserve"> </w:t>
      </w:r>
      <w:r>
        <w:t xml:space="preserve">the lack of a spatially explicit vineyard census layer, the regional</w:t>
      </w:r>
      <w:r>
        <w:t xml:space="preserve"> </w:t>
      </w:r>
      <w:r>
        <w:t xml:space="preserve">analysis was framed as a scenario-based assessment rather than as a</w:t>
      </w:r>
      <w:r>
        <w:t xml:space="preserve"> </w:t>
      </w:r>
      <w:r>
        <w:t xml:space="preserve">complete mapping of actual vineyard distribution. Three cultivar</w:t>
      </w:r>
      <w:r>
        <w:t xml:space="preserve"> </w:t>
      </w:r>
      <w:r>
        <w:t xml:space="preserve">scenarios were constructed to ensure comparability across the region,</w:t>
      </w:r>
      <w:r>
        <w:t xml:space="preserve"> </w:t>
      </w:r>
      <w:r>
        <w:t xml:space="preserve">assuming that vineyards were uniformly planted with Wink, Yeniang No. 2,</w:t>
      </w:r>
      <w:r>
        <w:t xml:space="preserve"> </w:t>
      </w:r>
      <w:r>
        <w:t xml:space="preserve">or Kyoho cultivars, respectively. The model was driven by the hourly</w:t>
      </w:r>
      <w:r>
        <w:t xml:space="preserve"> </w:t>
      </w:r>
      <w:r>
        <w:t xml:space="preserve">meteorological dataset described previously (</w:t>
      </w:r>
      <w:hyperlink w:anchor="X1efb8c6a309e42b8504d22d6db41495b189c98c">
        <w:r>
          <w:rPr>
            <w:rStyle w:val="Hyperlink"/>
          </w:rPr>
          <w:t xml:space="preserve">Fig</w:t>
        </w:r>
        <w:r>
          <w:rPr>
            <w:rStyle w:val="Hyperlink"/>
          </w:rPr>
          <w:t xml:space="preserve"> </w:t>
        </w:r>
        <w:r>
          <w:rPr>
            <w:rStyle w:val="Hyperlink"/>
          </w:rPr>
          <w:t xml:space="preserve">3</w:t>
        </w:r>
      </w:hyperlink>
      <w:r>
        <w:t xml:space="preserve">).</w:t>
      </w:r>
    </w:p>
    <w:p>
      <w:pPr>
        <w:pStyle w:val="Normal"/>
        <w:spacing w:line="480" w:lineRule="auto"/>
      </w:pPr>
      <w:r>
        <w:t>Considering that growers in the region commonly adopt similar preventive</w:t>
      </w:r>
      <w:r>
        <w:t xml:space="preserve"> </w:t>
      </w:r>
      <w:r>
        <w:t>spraying schedules through peer-to-peer technical exchange, chemical</w:t>
      </w:r>
      <w:r>
        <w:t xml:space="preserve"> </w:t>
      </w:r>
      <w:r>
        <w:t>disease management was represented using a schedule</w:t>
      </w:r>
      <w:r>
        <w:t xml:space="preserve"> </w:t>
      </w:r>
      <w:r>
        <w:t>derived from the 2022 Du’an (Hechi) experimental vineyard</w:t>
      </w:r>
      <w:r>
        <w:t xml:space="preserve"> </w:t>
      </w:r>
      <w:r>
        <w:t>(</w:t>
      </w:r>
      <w:hyperlink w:anchor="X334803869f50abc00a537dfdfe6e3d8e2af777a" w:history="1">
        <w:r>
          <w:rPr>
            <w:rStyle w:val="Hyperlink"/>
          </w:rPr>
          <w:t>Fig 7</w:t>
        </w:r>
      </w:hyperlink>
      <w:r>
        <w:t>) (</w:t>
      </w:r>
      <w:hyperlink w:anchor="ref_chavas_2020_10" w:history="1">
        <w:r>
          <w:rPr>
            <w:rStyle w:val="Hyperlink"/>
          </w:rPr>
          <w:t>Chavas and Nauges, 2020</w:t>
        </w:r>
      </w:hyperlink>
      <w:r>
        <w:t xml:space="preserve">; </w:t>
      </w:r>
      <w:hyperlink w:anchor="ref_huffman_2020_21" w:history="1">
        <w:r>
          <w:rPr>
            <w:rStyle w:val="Hyperlink"/>
          </w:rPr>
          <w:t>Huffman, 2020</w:t>
        </w:r>
      </w:hyperlink>
      <w:r>
        <w:t xml:space="preserve">; </w:t>
      </w:r>
      <w:hyperlink w:anchor="ref_norton_2020_36" w:history="1">
        <w:r>
          <w:rPr>
            <w:rStyle w:val="Hyperlink"/>
          </w:rPr>
          <w:t>Norton and Alwang, 2020</w:t>
        </w:r>
      </w:hyperlink>
      <w:r>
        <w:t>). The potential to avoid early preventive</w:t>
      </w:r>
      <w:r>
        <w:t xml:space="preserve"> </w:t>
      </w:r>
      <w:r>
        <w:t>treatments was evaluated relative to this baseline schedule, whereby any</w:t>
      </w:r>
      <w:r>
        <w:t xml:space="preserve"> </w:t>
      </w:r>
      <w:r>
        <w:t>preventive fungicide application conducted more than seven days before the simulated</w:t>
      </w:r>
      <w:r>
        <w:t xml:space="preserve"> </w:t>
      </w:r>
      <w:r>
        <w:t>first-infection onset was classified as potentially avoidable. The</w:t>
      </w:r>
      <w:r>
        <w:t xml:space="preserve"> </w:t>
      </w:r>
      <w:r>
        <w:t>seven-day buffer was used to remain consistent with the protection</w:t>
      </w:r>
      <w:r>
        <w:t xml:space="preserve"> </w:t>
      </w:r>
      <w:r>
        <w:t>window commonly expected for vineyard fungicide applications and to</w:t>
      </w:r>
      <w:r>
        <w:t xml:space="preserve"> </w:t>
      </w:r>
      <w:r>
        <w:t>avoid classifying near-risk sprays as redundant. Based on this</w:t>
      </w:r>
      <w:r>
        <w:t xml:space="preserve"> </w:t>
      </w:r>
      <w:r>
        <w:t>criterion, the multi-year average number of potentially avoidable early</w:t>
      </w:r>
      <w:r>
        <w:t xml:space="preserve"> </w:t>
      </w:r>
      <w:r>
        <w:t>applications and the corresponding reduction proportion were calculated.</w:t>
      </w:r>
    </w:p>
    <w:bookmarkStart w:id="59" w:name="X334803869f50abc00a537dfdfe6e3d8e2af777a"/>
    <w:p>
      <w:pPr>
        <w:pStyle w:val="CaptionedFigure"/>
        <w:jc w:val="center"/>
      </w:pPr>
      <w:r>
        <w:drawing>
          <ns2:inline>
            <ns2:extent cx="5441315" cy="2770349"/>
            <ns2:effectExtent b="0" l="0" r="0" t="0"/>
            <ns2:docPr descr="" title="" id="57" name="Picture"/>
            <ns3:graphic>
              <ns3:graphicData uri="http://schemas.openxmlformats.org/drawingml/2006/picture">
                <ns4:pic>
                  <ns4:nvPicPr>
                    <ns4:cNvPr descr="paper/manuscript_eja_media/media/image7.png" id="58" name="Picture"/>
                    <ns4:cNvPicPr>
                      <ns3:picLocks noChangeArrowheads="1" noChangeAspect="1"/>
                    </ns4:cNvPicPr>
                  </ns4:nvPicPr>
                  <ns4:blipFill>
                    <ns3:blip r:embed="rId56"/>
                    <ns3:stretch>
                      <ns3:fillRect/>
                    </ns3:stretch>
                  </ns4:blipFill>
                  <ns4:spPr bwMode="auto">
                    <ns3:xfrm>
                      <ns3:off x="0" y="0"/>
                      <ns3:ext cx="5441315" cy="2770349"/>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7. Illustration of the empirically executed fungicide application pattern, documented by field investigators immediately after each grower-implemented spray event in the experimental vineyard in Du’an, Hechi City, during the 2022 growing season. The management practice was characterized by preventive fungicide applications conducted after rainfall events and prior to the onset of first seasonal infection. The shaded region indicates the period of such pre-infection, rainfall-triggered preventive sprays.</w:t>
      </w:r>
    </w:p>
    <w:bookmarkEnd w:id="59"/>
    <w:bookmarkStart w:id="60" w:name="reconstruction-of-flowering-dates-bbch53"/>
    <w:p>
      <w:pPr>
        <w:pStyle w:val="Heading3"/>
      </w:pPr>
      <w:r>
        <w:t xml:space="preserve">Reconstruction of flowering dates</w:t>
      </w:r>
      <w:r>
        <w:t xml:space="preserve"> </w:t>
      </w:r>
      <w:r>
        <w:t xml:space="preserve">(BBCH53)</w:t>
      </w:r>
    </w:p>
    <w:p>
      <w:pPr>
        <w:pStyle w:val="FirstParagraph"/>
        <w:spacing w:line="480" w:lineRule="auto"/>
      </w:pPr>
      <w:r>
        <w:t>Because continuous observations of the BBCH53 phenological stage</w:t>
      </w:r>
      <w:r>
        <w:t xml:space="preserve"> </w:t>
      </w:r>
      <w:r>
        <w:t>(flowering) were unavailable for most years during 2000–2024, while the</w:t>
      </w:r>
      <w:r>
        <w:t xml:space="preserve"> </w:t>
      </w:r>
      <w:r>
        <w:t>FSIM-S disease model requires this stage as a phenological gate for</w:t>
      </w:r>
      <w:r>
        <w:t xml:space="preserve"> </w:t>
      </w:r>
      <w:r>
        <w:t>infection activation, a meteorology-driven BBCH53 reconstruction module</w:t>
      </w:r>
      <w:r>
        <w:t xml:space="preserve"> </w:t>
      </w:r>
      <w:r>
        <w:t>was developed and calibrated to provide consistent phenological inputs</w:t>
      </w:r>
      <w:r>
        <w:t xml:space="preserve"> </w:t>
      </w:r>
      <w:r>
        <w:t>for regional simulations (</w:t>
      </w:r>
      <w:hyperlink w:anchor="ref_hui_2022_24" w:history="1">
        <w:r>
          <w:rPr>
            <w:rStyle w:val="Hyperlink"/>
          </w:rPr>
          <w:t>Hui et al., 2022</w:t>
        </w:r>
      </w:hyperlink>
      <w:r>
        <w:t>).</w:t>
      </w:r>
    </w:p>
    <w:p>
      <w:pPr>
        <w:pStyle w:val="Normal"/>
        <w:spacing w:line="480" w:lineRule="auto"/>
      </w:pPr>
      <w:r>
        <w:t xml:space="preserve">Phenological development was represented using accumulated thermal time</w:t>
      </w:r>
      <w:r>
        <w:t xml:space="preserve"> </w:t>
      </w:r>
      <w:r>
        <w:t xml:space="preserve">derived from hourly air temperature. Effective growing degree days (GDD)</w:t>
      </w:r>
      <w:r>
        <w:t xml:space="preserve"> </w:t>
      </w:r>
      <w:r>
        <w:t xml:space="preserve">for each hour</w:t>
      </w:r>
      <w:r>
        <w:t xml:space="preserve"> </w:t>
      </w:r>
      <ns5:oMath>
        <ns5:r>
          <ns5:t>h</ns5:t>
        </ns5:r>
      </ns5:oMath>
      <w:r>
        <w:t xml:space="preserve"> </w:t>
      </w:r>
      <w:r>
        <w:t xml:space="preserve">were calculated as:</w:t>
      </w:r>
    </w:p>
    <w:p>
      <w:pPr>
        <w:pStyle w:val="Normal"/>
        <w:spacing w:line="480" w:lineRule="auto"/>
        <w:tabs>
          <w:tab w:val="center" w:pos="4680"/>
          <w:tab w:val="right" w:pos="9360"/>
        </w:tabs>
        <w:jc w:val="left"/>
      </w:pPr>
      <w:r>
        <w:tab/>
      </w:r>
      <ns5:oMath>
        <ns5:r>
          <ns5:t>G</ns5:t>
        </ns5:r>
        <ns5:r>
          <ns5:t>D</ns5:t>
        </ns5:r>
        <ns5:sSub>
          <ns5:e>
            <ns5:r>
              <ns5:t>D</ns5:t>
            </ns5:r>
          </ns5:e>
          <ns5:sub>
            <ns5:r>
              <ns5:t>h</ns5:t>
            </ns5:r>
          </ns5:sub>
        </ns5:sSub>
        <ns5:r>
          <ns5:rPr>
            <ns5:sty ns5:val="p"/>
          </ns5:rPr>
          <ns5:t>=</ns5:t>
        </ns5:r>
        <ns5:f>
          <ns5:fPr>
            <ns5:type ns5:val="bar"/>
          </ns5:fPr>
          <ns5:num>
            <ns5:r>
              <ns5:rPr>
                <ns5:sty ns5:val="p"/>
              </ns5:rPr>
              <ns5:t>max</ns5:t>
            </ns5:r>
            <ns5:r>
              <ns5:rPr>
                <ns5:sty ns5:val="p"/>
              </ns5:rPr>
              <ns5:t>(</ns5:t>
            </ns5:r>
            <ns5:sSub>
              <ns5:e>
                <ns5:r>
                  <ns5:t>T</ns5:t>
                </ns5:r>
              </ns5:e>
              <ns5:sub>
                <ns5:r>
                  <ns5:t>h</ns5:t>
                </ns5:r>
              </ns5:sub>
            </ns5:sSub>
            <ns5:r>
              <ns5:rPr>
                <ns5:sty ns5:val="p"/>
              </ns5:rPr>
              <ns5:t>−</ns5:t>
            </ns5:r>
            <ns5:sSub>
              <ns5:e>
                <ns5:r>
                  <ns5:t>T</ns5:t>
                </ns5:r>
              </ns5:e>
              <ns5:sub>
                <ns5:r>
                  <ns5:t>b</ns5:t>
                </ns5:r>
                <ns5:r>
                  <ns5:t>a</ns5:t>
                </ns5:r>
                <ns5:r>
                  <ns5:t>s</ns5:t>
                </ns5:r>
                <ns5:r>
                  <ns5:t>e</ns5:t>
                </ns5:r>
              </ns5:sub>
            </ns5:sSub>
            <ns5:r>
              <ns5:rPr>
                <ns5:sty ns5:val="p"/>
              </ns5:rPr>
              <ns5:t>,</ns5:t>
            </ns5:r>
            <ns5:r>
              <ns5:t>0</ns5:t>
            </ns5:r>
            <ns5:r>
              <ns5:rPr>
                <ns5:sty ns5:val="p"/>
              </ns5:rPr>
              <ns5:t>)</ns5:t>
            </ns5:r>
          </ns5:num>
          <ns5:den>
            <ns5:r>
              <ns5:t>24</ns5:t>
            </ns5:r>
          </ns5:den>
        </ns5:f>
      </ns5:oMath>
      <w:r>
        <w:tab/>
      </w:r>
      <w:r>
        <w:rPr>
          <w:rFonts w:ascii="Times New Roman" w:hAnsi="Times New Roman" w:eastAsia="Times New Roman" w:cs="Times New Roman"/>
          <w:sz w:val="24"/>
          <w:szCs w:val="24"/>
        </w:rPr>
        <w:t>(14)</w:t>
      </w:r>
    </w:p>
    <w:p>
      <w:pPr>
        <w:pStyle w:val="FirstParagraph"/>
        <w:spacing w:line="480" w:lineRule="auto"/>
      </w:pPr>
      <w:r>
        <w:t xml:space="preserve">where</w:t>
      </w:r>
      <w:r>
        <w:t xml:space="preserve"> </w:t>
      </w:r>
      <ns5:oMath>
        <ns5:sSub>
          <ns5:e>
            <ns5:r>
              <ns5:t>T</ns5:t>
            </ns5:r>
          </ns5:e>
          <ns5:sub>
            <ns5:r>
              <ns5:t>h</ns5:t>
            </ns5:r>
          </ns5:sub>
        </ns5:sSub>
      </ns5:oMath>
      <w:r>
        <w:t xml:space="preserve"> </w:t>
      </w:r>
      <w:r>
        <w:t xml:space="preserve">denotes hourly air temperature and</w:t>
      </w:r>
      <w:r>
        <w:t xml:space="preserve"> </w:t>
      </w:r>
      <ns5:oMath>
        <ns5:sSub>
          <ns5:e>
            <ns5:r>
              <ns5:t>T</ns5:t>
            </ns5:r>
          </ns5:e>
          <ns5:sub>
            <ns5:r>
              <ns5:t>b</ns5:t>
            </ns5:r>
            <ns5:r>
              <ns5:t>a</ns5:t>
            </ns5:r>
            <ns5:r>
              <ns5:t>s</ns5:t>
            </ns5:r>
            <ns5:r>
              <ns5:t>e</ns5:t>
            </ns5:r>
          </ns5:sub>
        </ns5:sSub>
      </ns5:oMath>
      <w:r>
        <w:t xml:space="preserve"> </w:t>
      </w:r>
      <w:r>
        <w:t xml:space="preserve">is the</w:t>
      </w:r>
      <w:r>
        <w:t xml:space="preserve"> </w:t>
      </w:r>
      <w:r>
        <w:t xml:space="preserve">base temperature. Accumulated thermal time from the starting date</w:t>
      </w:r>
      <w:r>
        <w:t xml:space="preserve"> </w:t>
      </w:r>
      <ns5:oMath>
        <ns5:sSub>
          <ns5:e>
            <ns5:r>
              <ns5:t>t</ns5:t>
            </ns5:r>
          </ns5:e>
          <ns5:sub>
            <ns5:r>
              <ns5:t>0</ns5:t>
            </ns5:r>
          </ns5:sub>
        </ns5:sSub>
        <ns5:r>
          <ns5:t> </ns5:t>
        </ns5:r>
      </ns5:oMath>
      <w:r>
        <w:t xml:space="preserve">(defined by</w:t>
      </w:r>
      <w:r>
        <w:t xml:space="preserve"> </w:t>
      </w:r>
      <w:r>
        <w:rPr>
          <w:i/>
          <w:iCs/>
        </w:rPr>
        <w:t xml:space="preserve">start_doy</w:t>
      </w:r>
      <w:r>
        <w:t xml:space="preserve">) was then computed as:</w:t>
      </w:r>
    </w:p>
    <w:p>
      <w:pPr>
        <w:pStyle w:val="Normal"/>
        <w:spacing w:line="480" w:lineRule="auto"/>
        <w:tabs>
          <w:tab w:val="center" w:pos="4680"/>
          <w:tab w:val="right" w:pos="9360"/>
        </w:tabs>
        <w:jc w:val="left"/>
      </w:pPr>
      <w:r>
        <w:tab/>
      </w:r>
      <ns5:oMath>
        <ns5:r>
          <ns5:t>A</ns5:t>
        </ns5:r>
        <ns5:r>
          <ns5:t>G</ns5:t>
        </ns5:r>
        <ns5:r>
          <ns5:t>D</ns5:t>
        </ns5:r>
        <ns5:r>
          <ns5:t>D</ns5:t>
        </ns5:r>
        <ns5:r>
          <ns5:rPr>
            <ns5:sty ns5:val="p"/>
          </ns5:rPr>
          <ns5:t>(</ns5:t>
        </ns5:r>
        <ns5:r>
          <ns5:t>t</ns5:t>
        </ns5:r>
        <ns5:r>
          <ns5:rPr>
            <ns5:sty ns5:val="p"/>
          </ns5:rPr>
          <ns5:t>)</ns5:t>
        </ns5:r>
        <ns5:r>
          <ns5:rPr>
            <ns5:sty ns5:val="p"/>
          </ns5:rPr>
          <ns5:t>=</ns5:t>
        </ns5:r>
        <ns5:nary>
          <ns5:naryPr>
            <ns5:chr ns5:val="∑"/>
            <ns5:limLoc ns5:val="undOvr"/>
            <ns5:subHide ns5:val="off"/>
            <ns5:supHide ns5:val="off"/>
          </ns5:naryPr>
          <ns5:sub>
            <ns5:r>
              <ns5:t>h</ns5:t>
            </ns5:r>
            <ns5:r>
              <ns5:rPr>
                <ns5:sty ns5:val="p"/>
              </ns5:rPr>
              <ns5:t>=</ns5:t>
            </ns5:r>
            <ns5:sSub>
              <ns5:e>
                <ns5:r>
                  <ns5:t>t</ns5:t>
                </ns5:r>
              </ns5:e>
              <ns5:sub>
                <ns5:r>
                  <ns5:t>0</ns5:t>
                </ns5:r>
              </ns5:sub>
            </ns5:sSub>
          </ns5:sub>
          <ns5:sup>
            <ns5:r>
              <ns5:t>t</ns5:t>
            </ns5:r>
          </ns5:sup>
          <ns5:e>
            <ns5:r>
              <ns5:t> </ns5:t>
            </ns5:r>
          </ns5:e>
        </ns5:nary>
        <ns5:r>
          <ns5:t> </ns5:t>
        </ns5:r>
        <ns5:r>
          <ns5:t>G</ns5:t>
        </ns5:r>
        <ns5:r>
          <ns5:t>D</ns5:t>
        </ns5:r>
        <ns5:sSub>
          <ns5:e>
            <ns5:r>
              <ns5:t>D</ns5:t>
            </ns5:r>
          </ns5:e>
          <ns5:sub>
            <ns5:r>
              <ns5:t>h</ns5:t>
            </ns5:r>
          </ns5:sub>
        </ns5:sSub>
      </ns5:oMath>
      <w:r>
        <w:tab/>
      </w:r>
      <w:r>
        <w:rPr>
          <w:rFonts w:ascii="Times New Roman" w:hAnsi="Times New Roman" w:eastAsia="Times New Roman" w:cs="Times New Roman"/>
          <w:sz w:val="24"/>
          <w:szCs w:val="24"/>
        </w:rPr>
        <w:t>(15)</w:t>
      </w:r>
    </w:p>
    <w:p>
      <w:pPr>
        <w:pStyle w:val="FirstParagraph"/>
        <w:spacing w:line="480" w:lineRule="auto"/>
      </w:pPr>
      <w:r>
        <w:t xml:space="preserve">The BBCH53 date was defined as the first day satisfying both a</w:t>
      </w:r>
      <w:r>
        <w:t xml:space="preserve"> </w:t>
      </w:r>
      <w:r>
        <w:t xml:space="preserve">cumulative thermal threshold and a short-term heat constraint:</w:t>
      </w:r>
    </w:p>
    <w:p>
      <w:pPr>
        <w:pStyle w:val="Normal"/>
        <w:spacing w:line="480" w:lineRule="auto"/>
        <w:tabs>
          <w:tab w:val="center" w:pos="4680"/>
          <w:tab w:val="right" w:pos="9360"/>
        </w:tabs>
        <w:jc w:val="left"/>
      </w:pPr>
      <w:r>
        <w:tab/>
      </w:r>
      <ns5:oMath>
        <ns5:r>
          <ns5:t>A</ns5:t>
        </ns5:r>
        <ns5:r>
          <ns5:t>G</ns5:t>
        </ns5:r>
        <ns5:r>
          <ns5:t>D</ns5:t>
        </ns5:r>
        <ns5:r>
          <ns5:t>D</ns5:t>
        </ns5:r>
        <ns5:r>
          <ns5:rPr>
            <ns5:sty ns5:val="p"/>
          </ns5:rPr>
          <ns5:t>(</ns5:t>
        </ns5:r>
        <ns5:r>
          <ns5:t>t</ns5:t>
        </ns5:r>
        <ns5:r>
          <ns5:rPr>
            <ns5:sty ns5:val="p"/>
          </ns5:rPr>
          <ns5:t>)</ns5:t>
        </ns5:r>
        <ns5:r>
          <ns5:rPr>
            <ns5:sty ns5:val="p"/>
          </ns5:rPr>
          <ns5:t>≥</ns5:t>
        </ns5:r>
        <ns5:sSub>
          <ns5:e>
            <ns5:r>
              <ns5:t>θ</ns5:t>
            </ns5:r>
          </ns5:e>
          <ns5:sub>
            <ns5:r>
              <ns5:t>A</ns5:t>
            </ns5:r>
            <ns5:r>
              <ns5:t>G</ns5:t>
            </ns5:r>
            <ns5:r>
              <ns5:t>D</ns5:t>
            </ns5:r>
            <ns5:r>
              <ns5:t>D</ns5:t>
            </ns5:r>
          </ns5:sub>
        </ns5:sSub>
        <ns5:r>
          <ns5:rPr>
            <ns5:sty ns5:val="p"/>
          </ns5:rPr>
          <ns5:t>,</ns5:t>
        </ns5:r>
        <ns5:r>
          <ns5:t> </ns5:t>
        </ns5:r>
        <ns5:r>
          <ns5:t>R</ns5:t>
        </ns5:r>
        <ns5:r>
          <ns5:t>G</ns5:t>
        </ns5:r>
        <ns5:r>
          <ns5:t>D</ns5:t>
        </ns5:r>
        <ns5:sSub>
          <ns5:e>
            <ns5:r>
              <ns5:t>D</ns5:t>
            </ns5:r>
          </ns5:e>
          <ns5:sub>
            <ns5:r>
              <ns5:t>7</ns5:t>
            </ns5:r>
            <ns5:r>
              <ns5:t>d</ns5:t>
            </ns5:r>
          </ns5:sub>
        </ns5:sSub>
        <ns5:r>
          <ns5:rPr>
            <ns5:sty ns5:val="p"/>
          </ns5:rPr>
          <ns5:t>(</ns5:t>
        </ns5:r>
        <ns5:r>
          <ns5:t>t</ns5:t>
        </ns5:r>
        <ns5:r>
          <ns5:rPr>
            <ns5:sty ns5:val="p"/>
          </ns5:rPr>
          <ns5:t>)</ns5:t>
        </ns5:r>
        <ns5:r>
          <ns5:rPr>
            <ns5:sty ns5:val="p"/>
          </ns5:rPr>
          <ns5:t>≥</ns5:t>
        </ns5:r>
        <ns5:sSub>
          <ns5:e>
            <ns5:r>
              <ns5:t>θ</ns5:t>
            </ns5:r>
          </ns5:e>
          <ns5:sub>
            <ns5:r>
              <ns5:t>R</ns5:t>
            </ns5:r>
            <ns5:r>
              <ns5:t>G</ns5:t>
            </ns5:r>
            <ns5:r>
              <ns5:t>D</ns5:t>
            </ns5:r>
            <ns5:r>
              <ns5:t>D</ns5:t>
            </ns5:r>
          </ns5:sub>
        </ns5:sSub>
      </ns5:oMath>
      <w:r>
        <w:tab/>
      </w:r>
      <w:r>
        <w:rPr>
          <w:rFonts w:ascii="Times New Roman" w:hAnsi="Times New Roman" w:eastAsia="Times New Roman" w:cs="Times New Roman"/>
          <w:sz w:val="24"/>
          <w:szCs w:val="24"/>
        </w:rPr>
        <w:t>(16)</w:t>
      </w:r>
    </w:p>
    <w:p>
      <w:pPr>
        <w:pStyle w:val="FirstParagraph"/>
        <w:spacing w:line="480" w:lineRule="auto"/>
      </w:pPr>
      <w:r>
        <w:t xml:space="preserve">where</w:t>
      </w:r>
      <w:r>
        <w:t xml:space="preserve"> </w:t>
      </w:r>
      <ns5:oMath>
        <ns5:r>
          <ns5:t>R</ns5:t>
        </ns5:r>
        <ns5:r>
          <ns5:t>G</ns5:t>
        </ns5:r>
        <ns5:r>
          <ns5:t>D</ns5:t>
        </ns5:r>
        <ns5:sSub>
          <ns5:e>
            <ns5:r>
              <ns5:t>D</ns5:t>
            </ns5:r>
          </ns5:e>
          <ns5:sub>
            <ns5:r>
              <ns5:t>7</ns5:t>
            </ns5:r>
            <ns5:r>
              <ns5:t>d</ns5:t>
            </ns5:r>
          </ns5:sub>
        </ns5:sSub>
        <ns5:r>
          <ns5:rPr>
            <ns5:sty ns5:val="p"/>
          </ns5:rPr>
          <ns5:t>(</ns5:t>
        </ns5:r>
        <ns5:r>
          <ns5:t>t</ns5:t>
        </ns5:r>
        <ns5:r>
          <ns5:rPr>
            <ns5:sty ns5:val="p"/>
          </ns5:rPr>
          <ns5:t>)</ns5:t>
        </ns5:r>
      </ns5:oMath>
      <w:r>
        <w:t xml:space="preserve"> </w:t>
      </w:r>
      <w:r>
        <w:t xml:space="preserve">represents the 7-day running sum of daily GDD,</w:t>
      </w:r>
      <w:r>
        <w:t xml:space="preserve"> </w:t>
      </w:r>
      <w:r>
        <w:t xml:space="preserve">introduced to reduce premature triggering caused by short-term</w:t>
      </w:r>
      <w:r>
        <w:t xml:space="preserve"> </w:t>
      </w:r>
      <w:r>
        <w:t xml:space="preserve">temperature anomalies.</w:t>
      </w:r>
    </w:p>
    <w:p>
      <w:pPr>
        <w:pStyle w:val="Normal"/>
        <w:spacing w:line="480" w:lineRule="auto"/>
      </w:pPr>
      <w:r>
        <w:t xml:space="preserve">To account for cultivar differences, thermal thresholds and starting</w:t>
      </w:r>
      <w:r>
        <w:t xml:space="preserve"> </w:t>
      </w:r>
      <w:r>
        <w:t xml:space="preserve">dates were cultivar-adjusted. The effective thermal threshold was</w:t>
      </w:r>
      <w:r>
        <w:t xml:space="preserve"> </w:t>
      </w:r>
      <w:r>
        <w:t xml:space="preserve">expressed as:</w:t>
      </w:r>
    </w:p>
    <w:p>
      <w:pPr>
        <w:pStyle w:val="Normal"/>
        <w:spacing w:line="480" w:lineRule="auto"/>
        <w:tabs>
          <w:tab w:val="center" w:pos="4680"/>
          <w:tab w:val="right" w:pos="9360"/>
        </w:tabs>
        <w:jc w:val="left"/>
      </w:pPr>
      <w:r>
        <w:tab/>
      </w:r>
      <ns5:oMath>
        <ns5:sSub>
          <ns5:e>
            <ns5:r>
              <ns5:t>θ</ns5:t>
            </ns5:r>
          </ns5:e>
          <ns5:sub>
            <ns5:r>
              <ns5:t>e</ns5:t>
            </ns5:r>
            <ns5:r>
              <ns5:t>f</ns5:t>
            </ns5:r>
            <ns5:r>
              <ns5:t>f</ns5:t>
            </ns5:r>
          </ns5:sub>
        </ns5:sSub>
        <ns5:r>
          <ns5:rPr>
            <ns5:sty ns5:val="p"/>
          </ns5:rPr>
          <ns5:t>=</ns5:t>
        </ns5:r>
        <ns5:sSub>
          <ns5:e>
            <ns5:r>
              <ns5:t>θ</ns5:t>
            </ns5:r>
          </ns5:e>
          <ns5:sub>
            <ns5:r>
              <ns5:t>A</ns5:t>
            </ns5:r>
            <ns5:r>
              <ns5:t>G</ns5:t>
            </ns5:r>
            <ns5:r>
              <ns5:t>D</ns5:t>
            </ns5:r>
            <ns5:r>
              <ns5:t>D</ns5:t>
            </ns5:r>
          </ns5:sub>
        </ns5:sSub>
        <ns5:r>
          <ns5:rPr>
            <ns5:sty ns5:val="p"/>
          </ns5:rPr>
          <ns5:t>(</ns5:t>
        </ns5:r>
        <ns5:r>
          <ns5:t>1</ns5:t>
        </ns5:r>
        <ns5:r>
          <ns5:rPr>
            <ns5:sty ns5:val="p"/>
          </ns5:rPr>
          <ns5:t>+</ns5:t>
        </ns5:r>
        <ns5:sSub>
          <ns5:e>
            <ns5:r>
              <ns5:t>δ</ns5:t>
            </ns5:r>
          </ns5:e>
          <ns5:sub>
            <ns5:r>
              <ns5:t>v</ns5:t>
            </ns5:r>
          </ns5:sub>
        </ns5:sSub>
        <ns5:r>
          <ns5:rPr>
            <ns5:sty ns5:val="p"/>
          </ns5:rPr>
          <ns5:t>+</ns5:t>
        </ns5:r>
        <ns5:sSub>
          <ns5:e>
            <ns5:r>
              <ns5:t>k</ns5:t>
            </ns5:r>
          </ns5:e>
          <ns5:sub>
            <ns5:r>
              <ns5:t>M</ns5:t>
            </ns5:r>
            <ns5:r>
              <ns5:t>P</ns5:t>
            </ns5:r>
            <ns5:r>
              <ns5:t>T</ns5:t>
            </ns5:r>
          </ns5:sub>
        </ns5:sSub>
        <ns5:sSub>
          <ns5:e>
            <ns5:r>
              <ns5:t>z</ns5:t>
            </ns5:r>
          </ns5:e>
          <ns5:sub>
            <ns5:r>
              <ns5:t>y</ns5:t>
            </ns5:r>
          </ns5:sub>
        </ns5:sSub>
        <ns5:r>
          <ns5:rPr>
            <ns5:sty ns5:val="p"/>
          </ns5:rPr>
          <ns5:t>)</ns5:t>
        </ns5:r>
      </ns5:oMath>
      <w:r>
        <w:tab/>
      </w:r>
      <w:r>
        <w:rPr>
          <w:rFonts w:ascii="Times New Roman" w:hAnsi="Times New Roman" w:eastAsia="Times New Roman" w:cs="Times New Roman"/>
          <w:sz w:val="24"/>
          <w:szCs w:val="24"/>
        </w:rPr>
        <w:t>(17)</w:t>
      </w:r>
    </w:p>
    <w:p>
      <w:pPr>
        <w:pStyle w:val="FirstParagraph"/>
        <w:spacing w:line="480" w:lineRule="auto"/>
      </w:pPr>
      <w:r>
        <w:t xml:space="preserve">where</w:t>
      </w:r>
      <w:r>
        <w:t xml:space="preserve"> </w:t>
      </w:r>
      <ns5:oMath>
        <ns5:sSub>
          <ns5:e>
            <ns5:r>
              <ns5:t>δ</ns5:t>
            </ns5:r>
          </ns5:e>
          <ns5:sub>
            <ns5:r>
              <ns5:t>v</ns5:t>
            </ns5:r>
          </ns5:sub>
        </ns5:sSub>
      </ns5:oMath>
      <w:r>
        <w:t xml:space="preserve"> </w:t>
      </w:r>
      <w:r>
        <w:t xml:space="preserve">denotes cultivar-specific threshold offsets (Wink,</w:t>
      </w:r>
      <w:r>
        <w:t xml:space="preserve"> </w:t>
      </w:r>
      <w:r>
        <w:t xml:space="preserve">Yeniang No. 2, and Kyoho), and</w:t>
      </w:r>
      <w:r>
        <w:t xml:space="preserve"> </w:t>
      </w:r>
      <ns5:oMath>
        <ns5:sSub>
          <ns5:e>
            <ns5:r>
              <ns5:t>k</ns5:t>
            </ns5:r>
          </ns5:e>
          <ns5:sub>
            <ns5:r>
              <ns5:t>M</ns5:t>
            </ns5:r>
            <ns5:r>
              <ns5:t>P</ns5:t>
            </ns5:r>
            <ns5:r>
              <ns5:t>T</ns5:t>
            </ns5:r>
          </ns5:sub>
        </ns5:sSub>
        <ns5:sSub>
          <ns5:e>
            <ns5:r>
              <ns5:t>z</ns5:t>
            </ns5:r>
          </ns5:e>
          <ns5:sub>
            <ns5:r>
              <ns5:t>y</ns5:t>
            </ns5:r>
          </ns5:sub>
        </ns5:sSub>
      </ns5:oMath>
      <w:r>
        <w:t xml:space="preserve"> </w:t>
      </w:r>
      <w:r>
        <w:t xml:space="preserve">represents an additional</w:t>
      </w:r>
      <w:r>
        <w:t xml:space="preserve"> </w:t>
      </w:r>
      <w:r>
        <w:t xml:space="preserve">year-type adjustment derived from winter temperature conditions. The</w:t>
      </w:r>
      <w:r>
        <w:t xml:space="preserve"> </w:t>
      </w:r>
      <w:r>
        <w:t xml:space="preserve">effective starting date was adjusted as:</w:t>
      </w:r>
    </w:p>
    <w:p>
      <w:pPr>
        <w:pStyle w:val="Normal"/>
        <w:spacing w:line="480" w:lineRule="auto"/>
        <w:tabs>
          <w:tab w:val="center" w:pos="4680"/>
          <w:tab w:val="right" w:pos="9360"/>
        </w:tabs>
        <w:jc w:val="left"/>
      </w:pPr>
      <w:r>
        <w:tab/>
      </w:r>
      <ns5:oMath>
        <ns5:r>
          <ns5:t>s</ns5:t>
        </ns5:r>
        <ns5:r>
          <ns5:t>t</ns5:t>
        </ns5:r>
        <ns5:r>
          <ns5:t>a</ns5:t>
        </ns5:r>
        <ns5:r>
          <ns5:t>r</ns5:t>
        </ns5:r>
        <ns5:r>
          <ns5:t>t</ns5:t>
        </ns5:r>
        <ns5:r>
          <ns5:rPr>
            <ns5:sty ns5:val="p"/>
          </ns5:rPr>
          <ns5:t>_</ns5:t>
        </ns5:r>
        <ns5:r>
          <ns5:t>d</ns5:t>
        </ns5:r>
        <ns5:r>
          <ns5:t>o</ns5:t>
        </ns5:r>
        <ns5:sSub>
          <ns5:e>
            <ns5:r>
              <ns5:t>y</ns5:t>
            </ns5:r>
          </ns5:e>
          <ns5:sub>
            <ns5:r>
              <ns5:t>e</ns5:t>
            </ns5:r>
            <ns5:r>
              <ns5:t>f</ns5:t>
            </ns5:r>
            <ns5:r>
              <ns5:t>f</ns5:t>
            </ns5:r>
          </ns5:sub>
        </ns5:sSub>
        <ns5:r>
          <ns5:rPr>
            <ns5:sty ns5:val="p"/>
          </ns5:rPr>
          <ns5:t>=</ns5:t>
        </ns5:r>
        <ns5:r>
          <ns5:t>s</ns5:t>
        </ns5:r>
        <ns5:r>
          <ns5:t>t</ns5:t>
        </ns5:r>
        <ns5:r>
          <ns5:t>a</ns5:t>
        </ns5:r>
        <ns5:r>
          <ns5:t>r</ns5:t>
        </ns5:r>
        <ns5:r>
          <ns5:t>t</ns5:t>
        </ns5:r>
        <ns5:r>
          <ns5:rPr>
            <ns5:sty ns5:val="p"/>
          </ns5:rPr>
          <ns5:t>_</ns5:t>
        </ns5:r>
        <ns5:r>
          <ns5:t>d</ns5:t>
        </ns5:r>
        <ns5:r>
          <ns5:t>o</ns5:t>
        </ns5:r>
        <ns5:r>
          <ns5:t>y</ns5:t>
        </ns5:r>
        <ns5:r>
          <ns5:rPr>
            <ns5:sty ns5:val="p"/>
          </ns5:rPr>
          <ns5:t>+</ns5:t>
        </ns5:r>
        <ns5:sSub>
          <ns5:e>
            <ns5:r>
              <ns5:t>s</ns5:t>
            </ns5:r>
          </ns5:e>
          <ns5:sub>
            <ns5:r>
              <ns5:t>v</ns5:t>
            </ns5:r>
          </ns5:sub>
        </ns5:sSub>
      </ns5:oMath>
      <w:r>
        <w:tab/>
      </w:r>
      <w:r>
        <w:rPr>
          <w:rFonts w:ascii="Times New Roman" w:hAnsi="Times New Roman" w:eastAsia="Times New Roman" w:cs="Times New Roman"/>
          <w:sz w:val="24"/>
          <w:szCs w:val="24"/>
        </w:rPr>
        <w:t>(18)</w:t>
      </w:r>
    </w:p>
    <w:p>
      <w:pPr>
        <w:pStyle w:val="FirstParagraph"/>
        <w:spacing w:line="480" w:lineRule="auto"/>
      </w:pPr>
      <w:r>
        <w:t xml:space="preserve">where</w:t>
      </w:r>
      <w:r>
        <w:t xml:space="preserve"> </w:t>
      </w:r>
      <ns5:oMath>
        <ns5:sSub>
          <ns5:e>
            <ns5:r>
              <ns5:t>s</ns5:t>
            </ns5:r>
          </ns5:e>
          <ns5:sub>
            <ns5:r>
              <ns5:t>v</ns5:t>
            </ns5:r>
          </ns5:sub>
        </ns5:sSub>
      </ns5:oMath>
      <w:r>
        <w:t xml:space="preserve"> </w:t>
      </w:r>
      <w:r>
        <w:t xml:space="preserve">is the cultivar-specific offset.</w:t>
      </w:r>
    </w:p>
    <w:p>
      <w:pPr>
        <w:pStyle w:val="Normal"/>
        <w:spacing w:line="480" w:lineRule="auto"/>
      </w:pPr>
      <w:r>
        <w:t xml:space="preserve">Parameter calibration followed a Bayesian optimization framework</w:t>
      </w:r>
      <w:r>
        <w:t xml:space="preserve"> </w:t>
      </w:r>
      <w:r>
        <w:t xml:space="preserve">combined with cross-validation to improve robustness of parameter</w:t>
      </w:r>
      <w:r>
        <w:t xml:space="preserve"> </w:t>
      </w:r>
      <w:r>
        <w:t xml:space="preserve">selection. Calibration was conducted in two stages: first optimizing</w:t>
      </w:r>
      <w:r>
        <w:t xml:space="preserve"> </w:t>
      </w:r>
      <w:r>
        <w:t xml:space="preserve">general thermal parameters (e.g., base temperature, thermal thresholds,</w:t>
      </w:r>
      <w:r>
        <w:t xml:space="preserve"> </w:t>
      </w:r>
      <w:r>
        <w:t xml:space="preserve">and starting date), and subsequently estimating cultivar adjustment</w:t>
      </w:r>
      <w:r>
        <w:t xml:space="preserve"> </w:t>
      </w:r>
      <w:r>
        <w:t xml:space="preserve">parameters based on the best-performing candidates. Given the limited</w:t>
      </w:r>
      <w:r>
        <w:t xml:space="preserve"> </w:t>
      </w:r>
      <w:r>
        <w:t xml:space="preserve">availability of phenological observations, calibration emphasized</w:t>
      </w:r>
      <w:r>
        <w:t xml:space="preserve"> </w:t>
      </w:r>
      <w:r>
        <w:t xml:space="preserve">obtaining stable and reusable phenological estimates for disease-model</w:t>
      </w:r>
      <w:r>
        <w:t xml:space="preserve"> </w:t>
      </w:r>
      <w:r>
        <w:t xml:space="preserve">input rather than achieving maximal phenological prediction accuracy.</w:t>
      </w:r>
    </w:p>
    <w:p>
      <w:pPr>
        <w:pStyle w:val="Normal"/>
        <w:spacing w:line="480" w:lineRule="auto"/>
      </w:pPr>
      <w:r>
        <w:t xml:space="preserve">The final parameter set was used to reconstruct gridded BBCH53 dates</w:t>
      </w:r>
      <w:r>
        <w:t xml:space="preserve"> </w:t>
      </w:r>
      <w:r>
        <w:t xml:space="preserve">across Guangxi for 2000–2024, and these reconstructed phenological</w:t>
      </w:r>
      <w:r>
        <w:t xml:space="preserve"> </w:t>
      </w:r>
      <w:r>
        <w:t xml:space="preserve">dates were subsequently used as standardized inputs for regional FSIM-S</w:t>
      </w:r>
      <w:r>
        <w:t xml:space="preserve"> </w:t>
      </w:r>
      <w:r>
        <w:t xml:space="preserve">disease simulations.</w:t>
      </w:r>
    </w:p>
    <w:bookmarkEnd w:id="60"/>
    <w:bookmarkStart w:id="61" w:name="reconstruction-of-spore-pressure-fields"/>
    <w:p>
      <w:pPr>
        <w:pStyle w:val="Heading3"/>
      </w:pPr>
      <w:r>
        <w:t xml:space="preserve">Reconstruction of spore pressure</w:t>
      </w:r>
      <w:r>
        <w:t xml:space="preserve"> </w:t>
      </w:r>
      <w:r>
        <w:t xml:space="preserve">fields</w:t>
      </w:r>
    </w:p>
    <w:p>
      <w:pPr>
        <w:pStyle w:val="FirstParagraph"/>
        <w:spacing w:line="480" w:lineRule="auto"/>
      </w:pPr>
      <w:r>
        <w:t xml:space="preserve">Because continuous airborne spore observations were unavailable for the</w:t>
      </w:r>
      <w:r>
        <w:t xml:space="preserve"> </w:t>
      </w:r>
      <w:r>
        <w:t xml:space="preserve">historical period (2000–2024), while the FSIM-S model requires inoculum</w:t>
      </w:r>
      <w:r>
        <w:t xml:space="preserve"> </w:t>
      </w:r>
      <w:r>
        <w:t xml:space="preserve">pressure information to regulate infection triggering, a</w:t>
      </w:r>
      <w:r>
        <w:t xml:space="preserve"> </w:t>
      </w:r>
      <w:r>
        <w:t xml:space="preserve">meteorology-driven spore-pressure reconstruction module was developed.</w:t>
      </w:r>
      <w:r>
        <w:t xml:space="preserve"> </w:t>
      </w:r>
      <w:r>
        <w:t xml:space="preserve">Field spore monitoring data collected during 2022–2024 were used for</w:t>
      </w:r>
      <w:r>
        <w:t xml:space="preserve"> </w:t>
      </w:r>
      <w:r>
        <w:t xml:space="preserve">parameter calibration, after which spatially explicit spore pressure</w:t>
      </w:r>
      <w:r>
        <w:t xml:space="preserve"> </w:t>
      </w:r>
      <w:r>
        <w:t xml:space="preserve">time series were reconstructed to drive historical simulations.</w:t>
      </w:r>
    </w:p>
    <w:p>
      <w:pPr>
        <w:pStyle w:val="Normal"/>
        <w:spacing w:line="480" w:lineRule="auto"/>
      </w:pPr>
      <w:r>
        <w:t xml:space="preserve">The module follows a</w:t>
      </w:r>
      <w:r>
        <w:t xml:space="preserve"> </w:t>
      </w:r>
      <w:r>
        <w:t xml:space="preserve">“potential inoculum reservoir–pressure index”</w:t>
      </w:r>
      <w:r>
        <w:t xml:space="preserve"> </w:t>
      </w:r>
      <w:r>
        <w:t xml:space="preserve">dynamic framework, in which meteorological effects on spore production</w:t>
      </w:r>
      <w:r>
        <w:t xml:space="preserve"> </w:t>
      </w:r>
      <w:r>
        <w:t xml:space="preserve">and loss are represented as source and loss terms:</w:t>
      </w:r>
    </w:p>
    <w:p>
      <w:pPr>
        <w:pStyle w:val="Normal"/>
        <w:spacing w:line="480" w:lineRule="auto"/>
        <w:tabs>
          <w:tab w:val="center" w:pos="4680"/>
          <w:tab w:val="right" w:pos="9360"/>
        </w:tabs>
        <w:jc w:val="left"/>
      </w:pPr>
      <w:r>
        <w:tab/>
      </w:r>
      <ns5:oMath>
        <ns5:sSub>
          <ns5:e>
            <ns5:r>
              <ns5:t>A</ns5:t>
            </ns5:r>
          </ns5:e>
          <ns5:sub>
            <ns5:r>
              <ns5:t>t</ns5:t>
            </ns5:r>
          </ns5:sub>
        </ns5:sSub>
        <ns5:r>
          <ns5:rPr>
            <ns5:sty ns5:val="p"/>
          </ns5:rPr>
          <ns5:t>=</ns5:t>
        </ns5:r>
        <ns5:r>
          <ns5:rPr>
            <ns5:sty ns5:val="p"/>
          </ns5:rPr>
          <ns5:t>max</ns5:t>
        </ns5:r>
        <ns5:d>
          <ns5:dPr>
            <ns5:begChr ns5:val="("/>
            <ns5:sepChr ns5:val=""/>
            <ns5:endChr ns5:val=")"/>
            <ns5:grow/>
          </ns5:dPr>
          <ns5:e>
            <ns5:r>
              <ns5:t>0</ns5:t>
            </ns5:r>
            <ns5:r>
              <ns5:rPr>
                <ns5:sty ns5:val="p"/>
              </ns5:rPr>
              <ns5:t>,</ns5:t>
            </ns5:r>
            <ns5:r>
              <ns5:t>ρ</ns5:t>
            </ns5:r>
            <ns5:sSub>
              <ns5:e>
                <ns5:r>
                  <ns5:t>A</ns5:t>
                </ns5:r>
              </ns5:e>
              <ns5:sub>
                <ns5:r>
                  <ns5:t>t</ns5:t>
                </ns5:r>
                <ns5:r>
                  <ns5:rPr>
                    <ns5:sty ns5:val="p"/>
                  </ns5:rPr>
                  <ns5:t>−</ns5:t>
                </ns5:r>
                <ns5:r>
                  <ns5:t>1</ns5:t>
                </ns5:r>
              </ns5:sub>
            </ns5:sSub>
            <ns5:r>
              <ns5:rPr>
                <ns5:sty ns5:val="p"/>
              </ns5:rPr>
              <ns5:t>+</ns5:t>
            </ns5:r>
            <ns5:r>
              <ns5:t>S</ns5:t>
            </ns5:r>
            <ns5:r>
              <ns5:t>o</ns5:t>
            </ns5:r>
            <ns5:r>
              <ns5:t>u</ns5:t>
            </ns5:r>
            <ns5:r>
              <ns5:t>r</ns5:t>
            </ns5:r>
            <ns5:r>
              <ns5:t>c</ns5:t>
            </ns5:r>
            <ns5:sSub>
              <ns5:e>
                <ns5:r>
                  <ns5:t>e</ns5:t>
                </ns5:r>
              </ns5:e>
              <ns5:sub>
                <ns5:r>
                  <ns5:t>t</ns5:t>
                </ns5:r>
              </ns5:sub>
            </ns5:sSub>
            <ns5:r>
              <ns5:rPr>
                <ns5:sty ns5:val="p"/>
              </ns5:rPr>
              <ns5:t>−</ns5:t>
            </ns5:r>
            <ns5:r>
              <ns5:t>L</ns5:t>
            </ns5:r>
            <ns5:r>
              <ns5:t>o</ns5:t>
            </ns5:r>
            <ns5:r>
              <ns5:t>s</ns5:t>
            </ns5:r>
            <ns5:sSub>
              <ns5:e>
                <ns5:r>
                  <ns5:t>s</ns5:t>
                </ns5:r>
              </ns5:e>
              <ns5:sub>
                <ns5:r>
                  <ns5:t>t</ns5:t>
                </ns5:r>
              </ns5:sub>
            </ns5:sSub>
          </ns5:e>
        </ns5:d>
      </ns5:oMath>
      <w:r>
        <w:tab/>
      </w:r>
      <w:r>
        <w:rPr>
          <w:rFonts w:ascii="Times New Roman" w:hAnsi="Times New Roman" w:eastAsia="Times New Roman" w:cs="Times New Roman"/>
          <w:sz w:val="24"/>
          <w:szCs w:val="24"/>
        </w:rPr>
        <w:t>(19)</w:t>
      </w:r>
    </w:p>
    <w:p>
      <w:pPr>
        <w:pStyle w:val="FirstParagraph"/>
        <w:spacing w:line="480" w:lineRule="auto"/>
      </w:pPr>
      <w:r>
        <w:t xml:space="preserve">where</w:t>
      </w:r>
      <w:r>
        <w:t xml:space="preserve"> </w:t>
      </w:r>
      <ns5:oMath>
        <ns5:sSub>
          <ns5:e>
            <ns5:r>
              <ns5:t>A</ns5:t>
            </ns5:r>
          </ns5:e>
          <ns5:sub>
            <ns5:r>
              <ns5:t>t</ns5:t>
            </ns5:r>
          </ns5:sub>
        </ns5:sSub>
      </ns5:oMath>
      <w:r>
        <w:t xml:space="preserve"> </w:t>
      </w:r>
      <w:r>
        <w:t xml:space="preserve">denotes the latent inoculum state. After logarithmic</w:t>
      </w:r>
      <w:r>
        <w:t xml:space="preserve"> </w:t>
      </w:r>
      <w:r>
        <w:t xml:space="preserve">normalization and smoothing, the resulting daily spore pressure index</w:t>
      </w:r>
      <w:r>
        <w:t xml:space="preserve"> </w:t>
      </w:r>
      <ns5:oMath>
        <ns5:sSub>
          <ns5:e>
            <ns5:r>
              <ns5:t>S</ns5:t>
            </ns5:r>
          </ns5:e>
          <ns5:sub>
            <ns5:r>
              <ns5:t>t</ns5:t>
            </ns5:r>
          </ns5:sub>
        </ns5:sSub>
      </ns5:oMath>
      <w:r>
        <w:t xml:space="preserve"> </w:t>
      </w:r>
      <w:r>
        <w:t xml:space="preserve">was used as an input variable for infection triggering in</w:t>
      </w:r>
      <w:r>
        <w:t xml:space="preserve"> </w:t>
      </w:r>
      <w:r>
        <w:t xml:space="preserve">FSIM-S.</w:t>
      </w:r>
    </w:p>
    <w:p>
      <w:pPr>
        <w:pStyle w:val="Normal"/>
        <w:spacing w:line="480" w:lineRule="auto"/>
      </w:pPr>
      <w:r>
        <w:t xml:space="preserve">To ensure consistency with the disease process model, meteorological</w:t>
      </w:r>
      <w:r>
        <w:t xml:space="preserve"> </w:t>
      </w:r>
      <w:r>
        <w:t xml:space="preserve">drivers used in pressure reconstruction share the same physical</w:t>
      </w:r>
      <w:r>
        <w:t xml:space="preserve"> </w:t>
      </w:r>
      <w:r>
        <w:t xml:space="preserve">interpretation as those controlling infection processes in FSIM-S.</w:t>
      </w:r>
      <w:r>
        <w:t xml:space="preserve"> </w:t>
      </w:r>
      <w:r>
        <w:t xml:space="preserve">However, the pressure module employs a simplified inoculum reservoir</w:t>
      </w:r>
      <w:r>
        <w:t xml:space="preserve"> </w:t>
      </w:r>
      <w:r>
        <w:t xml:space="preserve">dynamic that is independently calibrated, enabling robust forcing input</w:t>
      </w:r>
      <w:r>
        <w:t xml:space="preserve"> </w:t>
      </w:r>
      <w:r>
        <w:t xml:space="preserve">under conditions lacking long-term spore observations. Calibration was</w:t>
      </w:r>
      <w:r>
        <w:t xml:space="preserve"> </w:t>
      </w:r>
      <w:r>
        <w:t xml:space="preserve">performed using Bayesian optimization with cross-validation, and the</w:t>
      </w:r>
      <w:r>
        <w:t xml:space="preserve"> </w:t>
      </w:r>
      <w:r>
        <w:t xml:space="preserve">resulting parameters were applied to reconstruct gridded spore pressure</w:t>
      </w:r>
      <w:r>
        <w:t xml:space="preserve"> </w:t>
      </w:r>
      <w:r>
        <w:t xml:space="preserve">fields for 2000–2024, which were subsequently coupled to FSIM-S through</w:t>
      </w:r>
      <w:r>
        <w:t xml:space="preserve"> </w:t>
      </w:r>
      <w:r>
        <w:t xml:space="preserve">infection-threshold adjustment mechanisms.</w:t>
      </w:r>
    </w:p>
    <w:bookmarkEnd w:id="61"/>
    <w:bookmarkEnd w:id="62"/>
    <w:bookmarkEnd w:id="63"/>
    <w:bookmarkStart w:id="94" w:name="results"/>
    <w:p>
      <w:pPr>
        <w:pStyle w:val="Heading1"/>
      </w:pPr>
      <w:r>
        <w:t xml:space="preserve">Results</w:t>
      </w:r>
    </w:p>
    <w:bookmarkStart w:id="68" w:name="Xb7b8f043b5e0352997e584896b213e614f3c963"/>
    <w:p>
      <w:pPr>
        <w:pStyle w:val="Heading2"/>
      </w:pPr>
      <w:r>
        <w:t xml:space="preserve">Field observations of disease onset and spore</w:t>
      </w:r>
      <w:r>
        <w:t xml:space="preserve"> </w:t>
      </w:r>
      <w:r>
        <w:t xml:space="preserve">dynamics</w:t>
      </w:r>
    </w:p>
    <w:p>
      <w:pPr>
        <w:pStyle w:val="FirstParagraph"/>
        <w:spacing w:line="480" w:lineRule="auto"/>
      </w:pPr>
      <w:r>
        <w:t xml:space="preserve">Among the six datasets collected from Guilin, Hechi, and Nanning between</w:t>
      </w:r>
      <w:r>
        <w:t xml:space="preserve"> </w:t>
      </w:r>
      <w:r>
        <w:t xml:space="preserve">2022 and 2024, the first detection of airborne</w:t>
      </w:r>
      <w:r>
        <w:t xml:space="preserve"> </w:t>
      </w:r>
      <w:r>
        <w:rPr>
          <w:i/>
          <w:iCs/>
        </w:rPr>
        <w:t xml:space="preserve">P. viticola</w:t>
      </w:r>
      <w:r>
        <w:t xml:space="preserve"> </w:t>
      </w:r>
      <w:r>
        <w:t xml:space="preserve">sporangia</w:t>
      </w:r>
      <w:r>
        <w:t xml:space="preserve"> </w:t>
      </w:r>
      <w:r>
        <w:t xml:space="preserve">occurred between March 30 and April 20, while first seasonal infection</w:t>
      </w:r>
      <w:r>
        <w:t xml:space="preserve"> </w:t>
      </w:r>
      <w:r>
        <w:t xml:space="preserve">symptoms were observed between April 20 and May 30</w:t>
      </w:r>
      <w:r>
        <w:t xml:space="preserve"> </w:t>
      </w:r>
      <w:r>
        <w:t xml:space="preserve">(</w:t>
      </w:r>
      <w:hyperlink w:anchor="X3dd1693b9934f606fb510edaa0fbc91d71c8b41">
        <w:r>
          <w:rPr>
            <w:rStyle w:val="Hyperlink"/>
          </w:rPr>
          <w:t xml:space="preserve">Fig 8</w:t>
        </w:r>
      </w:hyperlink>
      <w:r>
        <w:t xml:space="preserve">). An exception was noted in the Nanning</w:t>
      </w:r>
      <w:r>
        <w:t xml:space="preserve"> </w:t>
      </w:r>
      <w:r>
        <w:t xml:space="preserve">vineyard in 2023, where symptom onset was delayed until June. In both</w:t>
      </w:r>
      <w:r>
        <w:t xml:space="preserve"> </w:t>
      </w:r>
      <w:r>
        <w:t xml:space="preserve">Hechi and Nanning, symptom appearance in 2023 was later than in 2022 and</w:t>
      </w:r>
      <w:r>
        <w:t xml:space="preserve"> </w:t>
      </w:r>
      <w:r>
        <w:t xml:space="preserve">2024. The interval between initial sporangia detection and symptom onset</w:t>
      </w:r>
      <w:r>
        <w:t xml:space="preserve"> </w:t>
      </w:r>
      <w:r>
        <w:t xml:space="preserve">varied substantially across sites and years, ranging from 9 days in</w:t>
      </w:r>
      <w:r>
        <w:t xml:space="preserve"> </w:t>
      </w:r>
      <w:r>
        <w:t xml:space="preserve">Nanning (2024) to 72 days at the same site in 2023, indicating marked</w:t>
      </w:r>
      <w:r>
        <w:t xml:space="preserve"> </w:t>
      </w:r>
      <w:r>
        <w:t xml:space="preserve">interannual variability in epidemic development.</w:t>
      </w:r>
    </w:p>
    <w:bookmarkStart w:id="67" w:name="X3dd1693b9934f606fb510edaa0fbc91d71c8b41"/>
    <w:p>
      <w:pPr>
        <w:pStyle w:val="CaptionedFigure"/>
        <w:jc w:val="center"/>
      </w:pPr>
      <w:r>
        <w:drawing>
          <ns2:inline>
            <ns2:extent cx="5441315" cy="4407360"/>
            <ns2:effectExtent b="0" l="0" r="0" t="0"/>
            <ns2:docPr descr="" title="" id="65" name="Picture"/>
            <ns3:graphic>
              <ns3:graphicData uri="http://schemas.openxmlformats.org/drawingml/2006/picture">
                <ns4:pic>
                  <ns4:nvPicPr>
                    <ns4:cNvPr descr="paper/manuscript_eja_media/media/image8.png" id="66" name="Picture"/>
                    <ns4:cNvPicPr>
                      <ns3:picLocks noChangeArrowheads="1" noChangeAspect="1"/>
                    </ns4:cNvPicPr>
                  </ns4:nvPicPr>
                  <ns4:blipFill>
                    <ns3:blip r:embed="rId64"/>
                    <ns3:stretch>
                      <ns3:fillRect/>
                    </ns3:stretch>
                  </ns4:blipFill>
                  <ns4:spPr bwMode="auto">
                    <ns3:xfrm>
                      <ns3:off x="0" y="0"/>
                      <ns3:ext cx="5441315" cy="4407360"/>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8. Timing of first seasonal infection and sporangia dynamics of grape downy mildew (Plasmopara viticola) in the experimental vineyard from 2022 to 2024: (a) Guilin, 2022; (b) Hechi, 2022; (c) Hechi 2023; (d) Hechi, 2024; (e) Nanning, 2023; (f) Nanning, 2024.</w:t>
      </w:r>
    </w:p>
    <w:bookmarkEnd w:id="67"/>
    <w:bookmarkEnd w:id="68"/>
    <w:bookmarkStart w:id="77" w:name="sensitivity-analysis"/>
    <w:p>
      <w:pPr>
        <w:pStyle w:val="Heading2"/>
      </w:pPr>
      <w:r>
        <w:t xml:space="preserve">Sensitivity analysis</w:t>
      </w:r>
    </w:p>
    <w:p>
      <w:pPr>
        <w:pStyle w:val="FirstParagraph"/>
        <w:spacing w:line="480" w:lineRule="auto"/>
      </w:pPr>
      <w:r>
        <w:t xml:space="preserve">To quantify the relative contribution of model parameters to simulation</w:t>
      </w:r>
      <w:r>
        <w:t xml:space="preserve"> </w:t>
      </w:r>
      <w:r>
        <w:t xml:space="preserve">outputs and assess the impact of incorporating spore-pressure dynamics,</w:t>
      </w:r>
      <w:r>
        <w:t xml:space="preserve"> </w:t>
      </w:r>
      <w:r>
        <w:t xml:space="preserve">a global sensitivity analysis was performed using the Morris method.</w:t>
      </w:r>
      <w:r>
        <w:t xml:space="preserve"> </w:t>
      </w:r>
      <w:r>
        <w:t xml:space="preserve">Parameter influence magnitude and direction were represented by the</w:t>
      </w:r>
      <w:r>
        <w:t xml:space="preserve"> </w:t>
      </w:r>
      <w:r>
        <w:t xml:space="preserve">absolute mean effect (</w:t>
      </w:r>
      <ns5:oMath>
        <ns5:sSup>
          <ns5:e>
            <ns5:r>
              <ns5:t>μ</ns5:t>
            </ns5:r>
          </ns5:e>
          <ns5:sup>
            <ns5:r>
              <ns5:rPr>
                <ns5:sty ns5:val="p"/>
              </ns5:rPr>
              <ns5:t>*</ns5:t>
            </ns5:r>
          </ns5:sup>
        </ns5:sSup>
      </ns5:oMath>
      <w:r>
        <w:t xml:space="preserve">) and the signed mean effect (</w:t>
      </w:r>
      <ns5:oMath>
        <ns5:r>
          <ns5:t>μ</ns5:t>
        </ns5:r>
      </ns5:oMath>
      <w:r>
        <w:t xml:space="preserve">), respectively</w:t>
      </w:r>
      <w:r>
        <w:t xml:space="preserve"> </w:t>
      </w:r>
      <w:r>
        <w:t xml:space="preserve">(</w:t>
      </w:r>
      <w:hyperlink w:anchor="X415e9945071b9c01cdaa92cf0c5b2ce9c10bf98">
        <w:r>
          <w:rPr>
            <w:rStyle w:val="Hyperlink"/>
          </w:rPr>
          <w:t xml:space="preserve">Fig 9</w:t>
        </w:r>
      </w:hyperlink>
      <w:r>
        <w:t xml:space="preserve">,</w:t>
      </w:r>
      <w:r>
        <w:t xml:space="preserve"> </w:t>
      </w:r>
      <w:hyperlink w:anchor="Xf29f41e9327e6db842647b0ef4d03a7aac075f9">
        <w:r>
          <w:rPr>
            <w:rStyle w:val="Hyperlink"/>
          </w:rPr>
          <w:t xml:space="preserve">Fig 10</w:t>
        </w:r>
      </w:hyperlink>
      <w:r>
        <w:t xml:space="preserve">).</w:t>
      </w:r>
    </w:p>
    <w:p>
      <w:pPr>
        <w:pStyle w:val="Normal"/>
        <w:spacing w:line="480" w:lineRule="auto"/>
      </w:pPr>
      <w:r>
        <w:t xml:space="preserve">In the baseline FSIM model, ZVPD exhibited the highest sensitivity (</w:t>
      </w:r>
      <ns5:oMath>
        <ns5:sSup>
          <ns5:e>
            <ns5:r>
              <ns5:t>μ</ns5:t>
            </ns5:r>
          </ns5:e>
          <ns5:sup>
            <ns5:r>
              <ns5:rPr>
                <ns5:sty ns5:val="p"/>
              </ns5:rPr>
              <ns5:t>*</ns5:t>
            </ns5:r>
          </ns5:sup>
        </ns5:sSup>
      </ns5:oMath>
      <w:r>
        <w:t xml:space="preserve"> </w:t>
      </w:r>
      <w:r>
        <w:t xml:space="preserve">=</w:t>
      </w:r>
      <w:r>
        <w:t xml:space="preserve"> </w:t>
      </w:r>
      <w:r>
        <w:t xml:space="preserve">17.23), followed by DIRM (15.13), TMSO (13.25), and IC (12.67), which</w:t>
      </w:r>
      <w:r>
        <w:t xml:space="preserve"> </w:t>
      </w:r>
      <w:r>
        <w:t xml:space="preserve">collectively dominated model output (</w:t>
      </w:r>
      <w:hyperlink w:anchor="X415e9945071b9c01cdaa92cf0c5b2ce9c10bf98">
        <w:r>
          <w:rPr>
            <w:rStyle w:val="Hyperlink"/>
          </w:rPr>
          <w:t xml:space="preserve">Fig 9a</w:t>
        </w:r>
      </w:hyperlink>
      <w:r>
        <w:t xml:space="preserve">).</w:t>
      </w:r>
    </w:p>
    <w:p>
      <w:pPr>
        <w:pStyle w:val="Normal"/>
        <w:spacing w:line="480" w:lineRule="auto"/>
      </w:pPr>
      <w:r>
        <w:t xml:space="preserve">The signed effects revealed distinct directional differentiation: IC</w:t>
      </w:r>
      <w:r>
        <w:t xml:space="preserve"> </w:t>
      </w:r>
      <w:r>
        <w:t xml:space="preserve">exerted the strongest positive influence (</w:t>
      </w:r>
      <ns5:oMath>
        <ns5:r>
          <ns5:t>μ</ns5:t>
        </ns5:r>
        <ns5:r>
          <ns5:rPr>
            <ns5:sty ns5:val="p"/>
          </ns5:rPr>
          <ns5:t>=</ns5:t>
        </ns5:r>
        <ns5:r>
          <ns5:t>20.23</ns5:t>
        </ns5:r>
      </ns5:oMath>
      <w:r>
        <w:t xml:space="preserve">), whereas ZVPD</w:t>
      </w:r>
      <w:r>
        <w:t xml:space="preserve"> </w:t>
      </w:r>
      <w:r>
        <w:t xml:space="preserve">showed a pronounced negative effect (</w:t>
      </w:r>
      <ns5:oMath>
        <ns5:r>
          <ns5:t>μ</ns5:t>
        </ns5:r>
        <ns5:r>
          <ns5:rPr>
            <ns5:sty ns5:val="p"/>
          </ns5:rPr>
          <ns5:t>=</ns5:t>
        </ns5:r>
        <ns5:r>
          <ns5:rPr>
            <ns5:sty ns5:val="p"/>
          </ns5:rPr>
          <ns5:t>−</ns5:t>
        </ns5:r>
        <ns5:r>
          <ns5:t>20.17</ns5:t>
        </ns5:r>
      </ns5:oMath>
      <w:r>
        <w:t xml:space="preserve">)</w:t>
      </w:r>
      <w:r>
        <w:t xml:space="preserve"> </w:t>
      </w:r>
      <w:r>
        <w:t xml:space="preserve">(</w:t>
      </w:r>
      <w:hyperlink w:anchor="Xf29f41e9327e6db842647b0ef4d03a7aac075f9">
        <w:r>
          <w:rPr>
            <w:rStyle w:val="Hyperlink"/>
          </w:rPr>
          <w:t xml:space="preserve">Fig 10a</w:t>
        </w:r>
      </w:hyperlink>
      <w:r>
        <w:t xml:space="preserve">).</w:t>
      </w:r>
    </w:p>
    <w:p>
      <w:pPr>
        <w:pStyle w:val="Normal"/>
        <w:spacing w:line="480" w:lineRule="auto"/>
      </w:pPr>
      <w:r>
        <w:t xml:space="preserve">Following the incorporation of spore-pressure dynamics in FSIM-S, the</w:t>
      </w:r>
      <w:r>
        <w:t xml:space="preserve"> </w:t>
      </w:r>
      <w:r>
        <w:t xml:space="preserve">overall sensitivity ranking remained largely consistent, with ZVPD (</w:t>
      </w:r>
      <ns5:oMath>
        <ns5:sSup>
          <ns5:e>
            <ns5:r>
              <ns5:t>μ</ns5:t>
            </ns5:r>
          </ns5:e>
          <ns5:sup>
            <ns5:r>
              <ns5:rPr>
                <ns5:sty ns5:val="p"/>
              </ns5:rPr>
              <ns5:t>*</ns5:t>
            </ns5:r>
          </ns5:sup>
        </ns5:sSup>
      </ns5:oMath>
      <w:r>
        <w:t xml:space="preserve"> </w:t>
      </w:r>
      <w:r>
        <w:t xml:space="preserve">=</w:t>
      </w:r>
      <w:r>
        <w:t xml:space="preserve"> </w:t>
      </w:r>
      <w:r>
        <w:t xml:space="preserve">16.67), DIRM (13.42), IC (13.34), and TMSO (12.93) continuing to rank as</w:t>
      </w:r>
      <w:r>
        <w:t xml:space="preserve"> </w:t>
      </w:r>
      <w:r>
        <w:t xml:space="preserve">the four most influential parameters (</w:t>
      </w:r>
      <w:hyperlink w:anchor="X415e9945071b9c01cdaa92cf0c5b2ce9c10bf98">
        <w:r>
          <w:rPr>
            <w:rStyle w:val="Hyperlink"/>
          </w:rPr>
          <w:t xml:space="preserve">Fig 9b</w:t>
        </w:r>
      </w:hyperlink>
      <w:r>
        <w:t xml:space="preserve">).</w:t>
      </w:r>
      <w:r>
        <w:t xml:space="preserve"> </w:t>
      </w:r>
      <w:r>
        <w:t xml:space="preserve">Among the newly introduced spore-related parameters, SAP exhibited</w:t>
      </w:r>
      <w:r>
        <w:t xml:space="preserve"> </w:t>
      </w:r>
      <w:r>
        <w:t xml:space="preserve">moderate sensitivity (</w:t>
      </w:r>
      <ns5:oMath>
        <ns5:sSup>
          <ns5:e>
            <ns5:r>
              <ns5:t>μ</ns5:t>
            </ns5:r>
          </ns5:e>
          <ns5:sup>
            <ns5:r>
              <ns5:rPr>
                <ns5:sty ns5:val="p"/>
              </ns5:rPr>
              <ns5:t>*</ns5:t>
            </ns5:r>
          </ns5:sup>
        </ns5:sSup>
        <ns5:r>
          <ns5:rPr>
            <ns5:sty ns5:val="p"/>
          </ns5:rPr>
          <ns5:t>=</ns5:t>
        </ns5:r>
        <ns5:r>
          <ns5:t>4.63</ns5:t>
        </ns5:r>
      </ns5:oMath>
      <w:r>
        <w:t xml:space="preserve">), surpassing several existing</w:t>
      </w:r>
      <w:r>
        <w:t xml:space="preserve"> </w:t>
      </w:r>
      <w:r>
        <w:t xml:space="preserve">environmental and dispersal-related parameters (e.g., STMI, DERM, SMMI),</w:t>
      </w:r>
      <w:r>
        <w:t xml:space="preserve"> </w:t>
      </w:r>
      <w:r>
        <w:t xml:space="preserve">whereas SAN showed low sensitivity (</w:t>
      </w:r>
      <ns5:oMath>
        <ns5:sSup>
          <ns5:e>
            <ns5:r>
              <ns5:t>μ</ns5:t>
            </ns5:r>
          </ns5:e>
          <ns5:sup>
            <ns5:r>
              <ns5:rPr>
                <ns5:sty ns5:val="p"/>
              </ns5:rPr>
              <ns5:t>*</ns5:t>
            </ns5:r>
          </ns5:sup>
        </ns5:sSup>
        <ns5:r>
          <ns5:rPr>
            <ns5:sty ns5:val="p"/>
          </ns5:rPr>
          <ns5:t>=</ns5:t>
        </ns5:r>
        <ns5:r>
          <ns5:t>1.27</ns5:t>
        </ns5:r>
      </ns5:oMath>
      <w:r>
        <w:t xml:space="preserve">). The signed effects in</w:t>
      </w:r>
      <w:r>
        <w:t xml:space="preserve"> </w:t>
      </w:r>
      <w:r>
        <w:t xml:space="preserve">FSIM-S (</w:t>
      </w:r>
      <w:hyperlink w:anchor="Xf29f41e9327e6db842647b0ef4d03a7aac075f9">
        <w:r>
          <w:rPr>
            <w:rStyle w:val="Hyperlink"/>
          </w:rPr>
          <w:t xml:space="preserve">Fig 10b</w:t>
        </w:r>
      </w:hyperlink>
      <w:r>
        <w:t xml:space="preserve">) maintained similar</w:t>
      </w:r>
      <w:r>
        <w:t xml:space="preserve"> </w:t>
      </w:r>
      <w:r>
        <w:t xml:space="preserve">directional patterns: IC remained the strongest positive driver</w:t>
      </w:r>
      <w:r>
        <w:t xml:space="preserve"> </w:t>
      </w:r>
      <w:r>
        <w:t xml:space="preserve">(</w:t>
      </w:r>
      <ns5:oMath>
        <ns5:r>
          <ns5:t>μ</ns5:t>
        </ns5:r>
        <ns5:r>
          <ns5:rPr>
            <ns5:sty ns5:val="p"/>
          </ns5:rPr>
          <ns5:t>=</ns5:t>
        </ns5:r>
        <ns5:r>
          <ns5:t>18.74</ns5:t>
        </ns5:r>
      </ns5:oMath>
      <w:r>
        <w:t xml:space="preserve">), ZVPD the strongest negative driver</w:t>
      </w:r>
      <w:r>
        <w:t xml:space="preserve"> </w:t>
      </w:r>
      <w:r>
        <w:t xml:space="preserve">(</w:t>
      </w:r>
      <ns5:oMath>
        <ns5:r>
          <ns5:t>μ</ns5:t>
        </ns5:r>
        <ns5:r>
          <ns5:rPr>
            <ns5:sty ns5:val="p"/>
          </ns5:rPr>
          <ns5:t>=</ns5:t>
        </ns5:r>
        <ns5:r>
          <ns5:rPr>
            <ns5:sty ns5:val="p"/>
          </ns5:rPr>
          <ns5:t>−</ns5:t>
        </ns5:r>
        <ns5:r>
          <ns5:t>16.59</ns5:t>
        </ns5:r>
      </ns5:oMath>
      <w:r>
        <w:t xml:space="preserve">), while SAP displayed a clear negative effect</w:t>
      </w:r>
      <w:r>
        <w:t xml:space="preserve"> </w:t>
      </w:r>
      <w:r>
        <w:t xml:space="preserve">(</w:t>
      </w:r>
      <ns5:oMath>
        <ns5:r>
          <ns5:t>μ</ns5:t>
        </ns5:r>
        <ns5:r>
          <ns5:rPr>
            <ns5:sty ns5:val="p"/>
          </ns5:rPr>
          <ns5:t>=</ns5:t>
        </ns5:r>
        <ns5:r>
          <ns5:rPr>
            <ns5:sty ns5:val="p"/>
          </ns5:rPr>
          <ns5:t>−</ns5:t>
        </ns5:r>
        <ns5:r>
          <ns5:t>7.05</ns5:t>
        </ns5:r>
      </ns5:oMath>
      <w:r>
        <w:t xml:space="preserve">).</w:t>
      </w:r>
    </w:p>
    <w:p>
      <w:pPr>
        <w:pStyle w:val="Normal"/>
        <w:spacing w:line="480" w:lineRule="auto"/>
      </w:pPr>
      <w:r>
        <w:t xml:space="preserve">Overall, the sensitivity analysis confirms that the dominant model</w:t>
      </w:r>
      <w:r>
        <w:t xml:space="preserve"> </w:t>
      </w:r>
      <w:r>
        <w:t xml:space="preserve">drivers remain stable after the incorporation of spore-pressure</w:t>
      </w:r>
      <w:r>
        <w:t xml:space="preserve"> </w:t>
      </w:r>
      <w:r>
        <w:t xml:space="preserve">dynamics, while the moderate sensitivity of SAP supports the biological</w:t>
      </w:r>
      <w:r>
        <w:t xml:space="preserve"> </w:t>
      </w:r>
      <w:r>
        <w:t xml:space="preserve">relevance of the spore-pressure formulation in influencing infection</w:t>
      </w:r>
      <w:r>
        <w:t xml:space="preserve"> </w:t>
      </w:r>
      <w:r>
        <w:t xml:space="preserve">timing.</w:t>
      </w:r>
    </w:p>
    <w:bookmarkStart w:id="72" w:name="X415e9945071b9c01cdaa92cf0c5b2ce9c10bf98"/>
    <w:p>
      <w:pPr>
        <w:pStyle w:val="CaptionedFigure"/>
        <w:jc w:val="center"/>
      </w:pPr>
      <w:r>
        <w:drawing>
          <ns2:inline>
            <ns2:extent cx="5441315" cy="4150155"/>
            <ns2:effectExtent b="0" l="0" r="0" t="0"/>
            <ns2:docPr descr="" title="" id="70" name="Picture"/>
            <ns3:graphic>
              <ns3:graphicData uri="http://schemas.openxmlformats.org/drawingml/2006/picture">
                <ns4:pic>
                  <ns4:nvPicPr>
                    <ns4:cNvPr descr="paper/manuscript_eja_media/media/image9.png" id="71" name="Picture"/>
                    <ns4:cNvPicPr>
                      <ns3:picLocks noChangeArrowheads="1" noChangeAspect="1"/>
                    </ns4:cNvPicPr>
                  </ns4:nvPicPr>
                  <ns4:blipFill>
                    <ns3:blip r:embed="rId69"/>
                    <ns3:stretch>
                      <ns3:fillRect/>
                    </ns3:stretch>
                  </ns4:blipFill>
                  <ns4:spPr bwMode="auto">
                    <ns3:xfrm>
                      <ns3:off x="0" y="0"/>
                      <ns3:ext cx="5441315" cy="4150155"/>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9. Global parameter sensitivity based on the Morris method expressed as absolute mean effects () for the baseline FSIM model (a) and the extended FSIM-S model incorporating the spore-pressure formulation (b). Parameters are ranked by decreasing , representing their overall influence magnitude on model output aggregated across multiple random seeds. Parameter abbreviations: ZVPD = zoospore_alive__vpd; DIRM = dispersal__rain_min; IC = infection__infection_condition; TMSO = thresholds__min_spores; STMX = sporulation__Tmax; MTWN = mp_tmp__rh_wet_night; DIWM = dispersal__wind_min; STOP = sporulation__Topt; STMI = sporulation__Tmin; ZARA = zoospore_alive__rain; DERM = deposition__rain_min; SMMI = sporulation__MP_min; ISED = incubation__spl_end; SAP = spore__alpha_pos; SAN = spore__alpha_neg. Error bars indicate variability across aggregated runs.</w:t>
      </w:r>
    </w:p>
    <w:bookmarkEnd w:id="72"/>
    <w:bookmarkStart w:id="76" w:name="Xf29f41e9327e6db842647b0ef4d03a7aac075f9"/>
    <w:p>
      <w:pPr>
        <w:pStyle w:val="CaptionedFigure"/>
        <w:jc w:val="center"/>
      </w:pPr>
      <w:r>
        <w:drawing>
          <ns2:inline>
            <ns2:extent cx="5441315" cy="4150155"/>
            <ns2:effectExtent b="0" l="0" r="0" t="0"/>
            <ns2:docPr descr="" title="" id="74" name="Picture"/>
            <ns3:graphic>
              <ns3:graphicData uri="http://schemas.openxmlformats.org/drawingml/2006/picture">
                <ns4:pic>
                  <ns4:nvPicPr>
                    <ns4:cNvPr descr="paper/manuscript_eja_media/media/image10.png" id="75" name="Picture"/>
                    <ns4:cNvPicPr>
                      <ns3:picLocks noChangeArrowheads="1" noChangeAspect="1"/>
                    </ns4:cNvPicPr>
                  </ns4:nvPicPr>
                  <ns4:blipFill>
                    <ns3:blip r:embed="rId73"/>
                    <ns3:stretch>
                      <ns3:fillRect/>
                    </ns3:stretch>
                  </ns4:blipFill>
                  <ns4:spPr bwMode="auto">
                    <ns3:xfrm>
                      <ns3:off x="0" y="0"/>
                      <ns3:ext cx="5441315" cy="4150155"/>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10. Signed mean effects () from the Morris global sensitivity analysis for the baseline FSIM model (a) and the extended FSIM-S model (b). Positive and negative values indicate the direction of parameter influence on model output, while bar length reflects effect magnitude. Results are aggregated across multiple random seeds, with error bars representing variability among runs.</w:t>
      </w:r>
    </w:p>
    <w:bookmarkEnd w:id="76"/>
    <w:bookmarkEnd w:id="77"/>
    <w:bookmarkStart w:id="83" w:name="model-performance"/>
    <w:p>
      <w:pPr>
        <w:pStyle w:val="Heading2"/>
      </w:pPr>
      <w:r>
        <w:t xml:space="preserve">Model performance</w:t>
      </w:r>
    </w:p>
    <w:p>
      <w:pPr>
        <w:pStyle w:val="FirstParagraph"/>
        <w:spacing w:line="480" w:lineRule="auto"/>
      </w:pPr>
      <w:r>
        <w:t xml:space="preserve">The predictive performance of FSIM and FSIM-S for first seasonal</w:t>
      </w:r>
      <w:r>
        <w:t xml:space="preserve"> </w:t>
      </w:r>
      <w:r>
        <w:t xml:space="preserve">infection onset was evaluated using mean absolute error (MAE) and root</w:t>
      </w:r>
      <w:r>
        <w:t xml:space="preserve"> </w:t>
      </w:r>
      <w:r>
        <w:t xml:space="preserve">mean square error (RMSE) under a three-fold cross-validation framework</w:t>
      </w:r>
      <w:r>
        <w:t xml:space="preserve"> </w:t>
      </w:r>
      <w:r>
        <w:t xml:space="preserve">(</w:t>
      </w:r>
      <w:hyperlink w:anchor="X3db1492c7dfd0abe2393c52f56e2c9738b3a9e3">
        <w:r>
          <w:rPr>
            <w:rStyle w:val="Hyperlink"/>
          </w:rPr>
          <w:t xml:space="preserve">Fig 11</w:t>
        </w:r>
      </w:hyperlink>
      <w:r>
        <w:t xml:space="preserve">). On the training sets, FSIM achieved</w:t>
      </w:r>
      <w:r>
        <w:t xml:space="preserve"> </w:t>
      </w:r>
      <w:r>
        <w:t xml:space="preserve">MAE and RMSE values of 6.8 and 8.1 days, respectively, whereas FSIM-S</w:t>
      </w:r>
      <w:r>
        <w:t xml:space="preserve"> </w:t>
      </w:r>
      <w:r>
        <w:t xml:space="preserve">reduced these to 4.0 and 4.0 days, corresponding to reductions of 41.5%</w:t>
      </w:r>
      <w:r>
        <w:t xml:space="preserve"> </w:t>
      </w:r>
      <w:r>
        <w:t xml:space="preserve">and 50.3%. On the validation sets, FSIM yielded MAE of 9.3 days and</w:t>
      </w:r>
      <w:r>
        <w:t xml:space="preserve"> </w:t>
      </w:r>
      <w:r>
        <w:t xml:space="preserve">RMSE of 10.6 days, while FSIM-S achieved 6.3 and 6.5 days, representing</w:t>
      </w:r>
      <w:r>
        <w:t xml:space="preserve"> </w:t>
      </w:r>
      <w:r>
        <w:t xml:space="preserve">reductions of 32.1% and 38.9% (</w:t>
      </w:r>
      <w:hyperlink w:anchor="X3db1492c7dfd0abe2393c52f56e2c9738b3a9e3">
        <w:r>
          <w:rPr>
            <w:rStyle w:val="Hyperlink"/>
          </w:rPr>
          <w:t xml:space="preserve">Fig 11</w:t>
        </w:r>
      </w:hyperlink>
      <w:r>
        <w:t xml:space="preserve">).</w:t>
      </w:r>
      <w:r>
        <w:t xml:space="preserve"> </w:t>
      </w:r>
      <w:r>
        <w:t xml:space="preserve">Notably, FSIM-S also exhibited lower variability across cross-validation</w:t>
      </w:r>
      <w:r>
        <w:t xml:space="preserve"> </w:t>
      </w:r>
      <w:r>
        <w:t xml:space="preserve">folds, indicating improved predictive stability.</w:t>
      </w:r>
    </w:p>
    <w:p>
      <w:pPr>
        <w:pStyle w:val="Normal"/>
        <w:spacing w:line="480" w:lineRule="auto"/>
      </w:pPr>
      <w:r>
        <w:t xml:space="preserve">The simulated first seasonal infection onset windows for each site–year</w:t>
      </w:r>
      <w:r>
        <w:t xml:space="preserve"> </w:t>
      </w:r>
      <w:r>
        <w:t xml:space="preserve">combination are presented in</w:t>
      </w:r>
      <w:r>
        <w:t xml:space="preserve"> </w:t>
      </w:r>
      <w:hyperlink w:anchor="X373d67d1fe905f2777f8c41fb2c6aa9ed6efc76">
        <w:r>
          <w:rPr>
            <w:rStyle w:val="Hyperlink"/>
          </w:rPr>
          <w:t xml:space="preserve">Table 3</w:t>
        </w:r>
      </w:hyperlink>
      <w:r>
        <w:t xml:space="preserve">. Both</w:t>
      </w:r>
      <w:r>
        <w:t xml:space="preserve"> </w:t>
      </w:r>
      <w:r>
        <w:t xml:space="preserve">models generally reproduced the observed onset patterns, with FSIM-S</w:t>
      </w:r>
      <w:r>
        <w:t xml:space="preserve"> </w:t>
      </w:r>
      <w:r>
        <w:t xml:space="preserve">achieving comparable or slightly improved accuracy across most cases.</w:t>
      </w:r>
      <w:r>
        <w:t xml:space="preserve"> </w:t>
      </w:r>
      <w:r>
        <w:t xml:space="preserve">Errors varied by location and year: the largest deviation occurred in</w:t>
      </w:r>
      <w:r>
        <w:t xml:space="preserve"> </w:t>
      </w:r>
      <w:r>
        <w:t xml:space="preserve">Guilin 2022, where both models predicted onset approximately 13 days</w:t>
      </w:r>
      <w:r>
        <w:t xml:space="preserve"> </w:t>
      </w:r>
      <w:r>
        <w:t xml:space="preserve">earlier than observed; in contrast, both models achieved zero error for</w:t>
      </w:r>
      <w:r>
        <w:t xml:space="preserve"> </w:t>
      </w:r>
      <w:r>
        <w:t xml:space="preserve">Hechi 2023. For Hechi 2022 and Nanning 2023–2024, FSIM-S yielded</w:t>
      </w:r>
      <w:r>
        <w:t xml:space="preserve"> </w:t>
      </w:r>
      <w:r>
        <w:t xml:space="preserve">smaller temporal deviations than FSIM, while maintaining comparable</w:t>
      </w:r>
      <w:r>
        <w:t xml:space="preserve"> </w:t>
      </w:r>
      <w:r>
        <w:t xml:space="preserve">prediction windows.</w:t>
      </w:r>
    </w:p>
    <w:p>
      <w:pPr>
        <w:pStyle w:val="Normal"/>
        <w:spacing w:line="480" w:lineRule="auto"/>
      </w:pPr>
      <w:r>
        <w:t xml:space="preserve">Overall, the incorporation of spore-pressure dynamics into the model</w:t>
      </w:r>
      <w:r>
        <w:t xml:space="preserve"> </w:t>
      </w:r>
      <w:r>
        <w:t xml:space="preserve">framework resulted in consistent improvements in both prediction</w:t>
      </w:r>
      <w:r>
        <w:t xml:space="preserve"> </w:t>
      </w:r>
      <w:r>
        <w:t xml:space="preserve">accuracy and stability, with FSIM-S outperforming FSIM across training</w:t>
      </w:r>
      <w:r>
        <w:t xml:space="preserve"> </w:t>
      </w:r>
      <w:r>
        <w:t xml:space="preserve">and validation datasets and demonstrating enhanced precision across</w:t>
      </w:r>
      <w:r>
        <w:t xml:space="preserve"> </w:t>
      </w:r>
      <w:r>
        <w:t xml:space="preserve">site–year combinations.</w:t>
      </w:r>
    </w:p>
    <w:p>
      <w:pPr>
        <w:pStyle w:val="Normal"/>
        <w:spacing w:line="480" w:lineRule="auto"/>
      </w:pPr>
      <w:bookmarkStart w:id="78" w:name="X373d67d1fe905f2777f8c41fb2c6aa9ed6efc76"/>
      <w:bookmarkEnd w:id="78"/>
    </w:p>
    <w:p>
      <w:pPr>
        <w:pStyle w:val="TableCaption"/>
        <w:jc w:val="center"/>
        <w:ind w:left="0" w:hanging="0"/>
      </w:pPr>
      <w:r>
        <w:rPr>
          <w:rFonts w:ascii="Times New Roman" w:hAnsi="Times New Roman" w:eastAsia="Times New Roman" w:cs="Times New Roman"/>
          <w:sz w:val="20"/>
          <w:szCs w:val="20"/>
          <w:i/>
          <w:iCs/>
        </w:rPr>
        <w:t xml:space="preserve">Table 3. Simulated first seasonal infection onset windows and corresponding deviations (Error) from observed symptom appearance across sites and years for FSIM and FSIM-S. Negative Error values indicate that the simulated onset occurred earlier than observed. “Simulated Onset” denotes the model-estimated oil-spot appearance window representing first seasonal infection expression. Results shown correspond to the final global parameter configuration selected from cross-validation folds (see Section 2.5.4).</w:t>
      </w:r>
    </w:p>
    <w:tbl>
      <w:tblPr>
        <w:tblStyle w:val="Table"/>
        <w:tblW w:type="pct" w:w="5000"/>
        <w:tblLook w:firstRow="1" w:lastRow="0" w:firstColumn="0" w:lastColumn="0" w:noHBand="0" w:noVBand="0" w:val="0020"/>
        <w:jc w:val="center"/>
        <w:tblBorders>
          <w:top w:val="single" w:sz="12" w:space="0" w:color="auto"/>
          <w:bottom w:val="single" w:sz="12" w:space="0" w:color="auto"/>
          <w:left w:val="nil"/>
          <w:right w:val="nil"/>
          <w:insideH w:val="nil"/>
          <w:insideV w:val="nil"/>
        </w:tblBorders>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Model</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Site</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Year</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Simulated Onset (Month-Day)</w:t>
            </w:r>
          </w:p>
        </w:tc>
        <w:tc>
          <w:tcPr>
            <w:tcBorders>
              <w:top w:val="single" w:sz="12" w:space="0" w:color="auto"/>
              <w:bottom w:val="single" w:sz="8"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b/>
                <w:bCs/>
              </w:rPr>
              <w:t xml:space="preserve">Error (days)</w:t>
            </w: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c>
          <w:tcPr>
            <w:tcBorders>
              <w:top w:val="single" w:sz="12" w:space="0" w:color="auto"/>
              <w:bottom w:val="single" w:sz="8" w:space="0" w:color="auto"/>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FSIM</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Guilin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2022</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15–17</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-13.0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2022</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14–15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+6.0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28–30</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Apr 25–26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Nanning</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Jun 15–16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+5.0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Nanning</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Apr 25–26</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+3.0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FSIM-S</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Guilin</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2022</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15–17</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-13.0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2022</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13–14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+5.0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May 28–29</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+0.0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Hechi</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2024</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Apr 24–25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Nanning</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2023</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Jun 14–15</w:t>
            </w:r>
          </w:p>
        </w:tc>
        <w:tc>
          <w:tcPr>
            <w:tcBorders>
              <w:top w:val="nil"/>
              <w:bottom w:val="nil"/>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+4.0</w:t>
            </w: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c>
          <w:tcPr>
            <w:tcBorders>
              <w:top w:val="nil"/>
              <w:bottom w:val="nil"/>
              <w:left w:val="nil"/>
              <w:right w:val="nil"/>
              <w:insideH w:val="nil"/>
              <w:insideV w:val="nil"/>
            </w:tcBorders>
            <w:vAlign w:val="center"/>
          </w:tcPr>
          <w:p>
            <w:pPr>
              <w:pStyle w:val="TableText"/>
              <w:jc w:val="left"/>
            </w:pPr>
          </w:p>
        </w:tc>
      </w:tr>
      <w:tr>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Nanning</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2024</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Apr 24–25</w:t>
            </w:r>
          </w:p>
        </w:tc>
        <w:tc>
          <w:tcPr>
            <w:tcBorders>
              <w:top w:val="nil"/>
              <w:bottom w:val="single" w:sz="12" w:space="0" w:color="auto"/>
              <w:left w:val="nil"/>
              <w:right w:val="nil"/>
              <w:insideH w:val="nil"/>
              <w:insideV w:val="nil"/>
            </w:tcBorders>
            <w:vAlign w:val="center"/>
          </w:tcPr>
          <w:p>
            <w:pPr>
              <w:pStyle w:val="TableText"/>
              <w:jc w:val="left"/>
            </w:pPr>
            <w:r>
              <w:rPr>
                <w:rFonts w:ascii="Times New Roman" w:hAnsi="Times New Roman" w:eastAsia="Times New Roman" w:cs="Times New Roman"/>
                <w:sz w:val="18"/>
                <w:szCs w:val="18"/>
              </w:rPr>
              <w:t xml:space="preserve">+2.0</w:t>
            </w: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c>
          <w:tcPr>
            <w:tcBorders>
              <w:top w:val="nil"/>
              <w:bottom w:val="single" w:sz="12" w:space="0" w:color="auto"/>
              <w:left w:val="nil"/>
              <w:right w:val="nil"/>
              <w:insideH w:val="nil"/>
              <w:insideV w:val="nil"/>
            </w:tcBorders>
            <w:vAlign w:val="center"/>
          </w:tcPr>
          <w:p>
            <w:pPr>
              <w:pStyle w:val="TableText"/>
              <w:jc w:val="left"/>
            </w:pPr>
          </w:p>
        </w:tc>
      </w:tr>
    </w:tbl>
    <w:bookmarkStart w:id="82" w:name="X3db1492c7dfd0abe2393c52f56e2c9738b3a9e3"/>
    <w:p>
      <w:pPr>
        <w:pStyle w:val="CaptionedFigure"/>
        <w:jc w:val="center"/>
      </w:pPr>
      <w:r>
        <w:drawing>
          <ns2:inline>
            <ns2:extent cx="5441315" cy="2459351"/>
            <ns2:effectExtent b="0" l="0" r="0" t="0"/>
            <ns2:docPr descr="" title="" id="80" name="Picture"/>
            <ns3:graphic>
              <ns3:graphicData uri="http://schemas.openxmlformats.org/drawingml/2006/picture">
                <ns4:pic>
                  <ns4:nvPicPr>
                    <ns4:cNvPr descr="paper/manuscript_eja_media/media/image11.png" id="81" name="Picture"/>
                    <ns4:cNvPicPr>
                      <ns3:picLocks noChangeArrowheads="1" noChangeAspect="1"/>
                    </ns4:cNvPicPr>
                  </ns4:nvPicPr>
                  <ns4:blipFill>
                    <ns3:blip r:embed="rId79"/>
                    <ns3:stretch>
                      <ns3:fillRect/>
                    </ns3:stretch>
                  </ns4:blipFill>
                  <ns4:spPr bwMode="auto">
                    <ns3:xfrm>
                      <ns3:off x="0" y="0"/>
                      <ns3:ext cx="5441315" cy="2459351"/>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11. Model performance comparison based on mean absolute error (MAE) and root mean square error (RMSE): (a) training set and (b) test set. Bars show mean errors (days) ± standard deviations across folds. The percentages denote relative error reductions compared with the baseline FSIM model.</w:t>
      </w:r>
    </w:p>
    <w:bookmarkEnd w:id="82"/>
    <w:bookmarkEnd w:id="83"/>
    <w:bookmarkStart w:id="88" w:name="Xca79ad967ffb7d6ac9a1685872e0c86e9ecf336"/>
    <w:p>
      <w:pPr>
        <w:pStyle w:val="Heading2"/>
      </w:pPr>
      <w:r>
        <w:t xml:space="preserve">Spatial distribution of first-infection onset across Guangxi</w:t>
      </w:r>
      <w:r>
        <w:t xml:space="preserve"> </w:t>
      </w:r>
      <w:r>
        <w:t xml:space="preserve">(2000–2024)</w:t>
      </w:r>
    </w:p>
    <w:p>
      <w:pPr>
        <w:pStyle w:val="FirstParagraph"/>
        <w:spacing w:line="480" w:lineRule="auto"/>
      </w:pPr>
      <w:r>
        <w:t xml:space="preserve">Based on historical ERA5 meteorological data, the spatial distribution</w:t>
      </w:r>
      <w:r>
        <w:t xml:space="preserve"> </w:t>
      </w:r>
      <w:r>
        <w:t xml:space="preserve">of first-infection onset across Guangxi from 2000 to 2024 was</w:t>
      </w:r>
      <w:r>
        <w:t xml:space="preserve"> </w:t>
      </w:r>
      <w:r>
        <w:t xml:space="preserve">reconstructed using FSIM-S, simulated under three variety-specific</w:t>
      </w:r>
      <w:r>
        <w:t xml:space="preserve"> </w:t>
      </w:r>
      <w:r>
        <w:t xml:space="preserve">phenology scenarios: Wink (WK), Kyoho (JF), and Yeniang No. 2 (MPT)</w:t>
      </w:r>
      <w:r>
        <w:t xml:space="preserve"> </w:t>
      </w:r>
      <w:r>
        <w:t xml:space="preserve">(</w:t>
      </w:r>
      <w:hyperlink w:anchor="Xf2c50318eeabfb1a0d45a7c051b2aa7fa0addd7">
        <w:r>
          <w:rPr>
            <w:rStyle w:val="Hyperlink"/>
          </w:rPr>
          <w:t xml:space="preserve">Fig 12</w:t>
        </w:r>
      </w:hyperlink>
      <w:r>
        <w:t xml:space="preserve">).</w:t>
      </w:r>
    </w:p>
    <w:p>
      <w:pPr>
        <w:pStyle w:val="Normal"/>
        <w:spacing w:line="480" w:lineRule="auto"/>
      </w:pPr>
      <w:r>
        <w:t xml:space="preserve">Multi-year mean onset dates were similar across varieties, with WK and</w:t>
      </w:r>
      <w:r>
        <w:t xml:space="preserve"> </w:t>
      </w:r>
      <w:r>
        <w:t xml:space="preserve">JF averaging DOY 195 and MPT DOY 198 (median: 196, 196, and 199,</w:t>
      </w:r>
      <w:r>
        <w:t xml:space="preserve"> </w:t>
      </w:r>
      <w:r>
        <w:t xml:space="preserve">respectively). Spatially, earlier onset dates were consistently</w:t>
      </w:r>
      <w:r>
        <w:t xml:space="preserve"> </w:t>
      </w:r>
      <w:r>
        <w:t xml:space="preserve">simulated in central–southern and parts of southwestern Guangxi,</w:t>
      </w:r>
      <w:r>
        <w:t xml:space="preserve"> </w:t>
      </w:r>
      <w:r>
        <w:t xml:space="preserve">whereas later onset occurred in northern and northeastern areas</w:t>
      </w:r>
      <w:r>
        <w:t xml:space="preserve"> </w:t>
      </w:r>
      <w:r>
        <w:t xml:space="preserve">(</w:t>
      </w:r>
      <w:hyperlink w:anchor="Xf2c50318eeabfb1a0d45a7c051b2aa7fa0addd7">
        <w:r>
          <w:rPr>
            <w:rStyle w:val="Hyperlink"/>
          </w:rPr>
          <w:t xml:space="preserve">Fig 12a–c</w:t>
        </w:r>
      </w:hyperlink>
      <w:r>
        <w:t xml:space="preserve">). This spatial gradient was</w:t>
      </w:r>
      <w:r>
        <w:t xml:space="preserve"> </w:t>
      </w:r>
      <w:r>
        <w:t xml:space="preserve">consistent across all three varieties.</w:t>
      </w:r>
    </w:p>
    <w:p>
      <w:pPr>
        <w:pStyle w:val="Normal"/>
        <w:spacing w:line="480" w:lineRule="auto"/>
      </w:pPr>
      <w:r>
        <w:t xml:space="preserve">Frequency distributions (</w:t>
      </w:r>
      <w:hyperlink w:anchor="Xf2c50318eeabfb1a0d45a7c051b2aa7fa0addd7">
        <w:r>
          <w:rPr>
            <w:rStyle w:val="Hyperlink"/>
          </w:rPr>
          <w:t xml:space="preserve">Fig 12d</w:t>
        </w:r>
      </w:hyperlink>
      <w:r>
        <w:t xml:space="preserve">) showed that</w:t>
      </w:r>
      <w:r>
        <w:t xml:space="preserve"> </w:t>
      </w:r>
      <w:r>
        <w:t xml:space="preserve">the majority of onset dates fell within DOY 180–210 across all</w:t>
      </w:r>
      <w:r>
        <w:t xml:space="preserve"> </w:t>
      </w:r>
      <w:r>
        <w:t xml:space="preserve">varieties, with peak frequencies concentrated around DOY 190–200. The</w:t>
      </w:r>
      <w:r>
        <w:t xml:space="preserve"> </w:t>
      </w:r>
      <w:r>
        <w:t xml:space="preserve">overall distribution structures were highly similar among varieties.</w:t>
      </w:r>
    </w:p>
    <w:bookmarkStart w:id="87" w:name="Xf2c50318eeabfb1a0d45a7c051b2aa7fa0addd7"/>
    <w:p>
      <w:pPr>
        <w:pStyle w:val="CaptionedFigure"/>
        <w:jc w:val="center"/>
      </w:pPr>
      <w:r>
        <w:drawing>
          <ns2:inline>
            <ns2:extent cx="5441315" cy="3484887"/>
            <ns2:effectExtent b="0" l="0" r="0" t="0"/>
            <ns2:docPr descr="" title="" id="85" name="Picture"/>
            <ns3:graphic>
              <ns3:graphicData uri="http://schemas.openxmlformats.org/drawingml/2006/picture">
                <ns4:pic>
                  <ns4:nvPicPr>
                    <ns4:cNvPr descr="paper/manuscript_eja_media/media/image12.png" id="86" name="Picture"/>
                    <ns4:cNvPicPr>
                      <ns3:picLocks noChangeArrowheads="1" noChangeAspect="1"/>
                    </ns4:cNvPicPr>
                  </ns4:nvPicPr>
                  <ns4:blipFill>
                    <ns3:blip r:embed="rId84"/>
                    <ns3:stretch>
                      <ns3:fillRect/>
                    </ns3:stretch>
                  </ns4:blipFill>
                  <ns4:spPr bwMode="auto">
                    <ns3:xfrm>
                      <ns3:off x="0" y="0"/>
                      <ns3:ext cx="5441315" cy="3484887"/>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12. Simulated mean onset dates (day of year, DOY) of first seasonal infection under the FSIM-S model for three varieties: (a–c) spatial distributions of the Wink (WK), Kyoho (JF), and Yeniang No. 2 (MPT), and (d) their DOY frequency distributions.</w:t>
      </w:r>
    </w:p>
    <w:bookmarkEnd w:id="87"/>
    <w:bookmarkEnd w:id="88"/>
    <w:bookmarkStart w:id="93" w:name="Xf01e48e153358382980440b52191e7e3cb36ce5"/>
    <w:p>
      <w:pPr>
        <w:pStyle w:val="Heading2"/>
      </w:pPr>
      <w:r>
        <w:t xml:space="preserve">Regional disease-management implications</w:t>
      </w:r>
      <w:r>
        <w:t xml:space="preserve"> </w:t>
      </w:r>
      <w:r>
        <w:t xml:space="preserve">(2000–2024)</w:t>
      </w:r>
    </w:p>
    <w:p>
      <w:pPr>
        <w:pStyle w:val="FirstParagraph"/>
        <w:spacing w:line="480" w:lineRule="auto"/>
      </w:pPr>
      <w:r>
        <w:t xml:space="preserve">The potential to improve early disease-management timing across Guangxi</w:t>
      </w:r>
      <w:r>
        <w:t xml:space="preserve"> </w:t>
      </w:r>
      <w:r>
        <w:t xml:space="preserve">from 2000 to 2024 was evaluated by comparing the FSIM-S-derived timing of</w:t>
      </w:r>
      <w:r>
        <w:t xml:space="preserve"> </w:t>
      </w:r>
      <w:r>
        <w:t xml:space="preserve">first seasonal infection with a representative conventional fixed</w:t>
      </w:r>
      <w:r>
        <w:t xml:space="preserve"> </w:t>
      </w:r>
      <w:r>
        <w:t xml:space="preserve">calendar programme (</w:t>
      </w:r>
      <w:hyperlink w:anchor="X4938b1fdd1a98202e3dc218a93e702281b17c98">
        <w:r>
          <w:rPr>
            <w:rStyle w:val="Hyperlink"/>
          </w:rPr>
          <w:t xml:space="preserve">Fig 13</w:t>
        </w:r>
      </w:hyperlink>
      <w:r>
        <w:t xml:space="preserve">). Across the three</w:t>
      </w:r>
      <w:r>
        <w:t xml:space="preserve"> </w:t>
      </w:r>
      <w:r>
        <w:t xml:space="preserve">grapevine varieties, the model-guided strategy identified approximately</w:t>
      </w:r>
      <w:r>
        <w:t xml:space="preserve"> </w:t>
      </w:r>
      <w:r>
        <w:t xml:space="preserve">three potentially avoidable early preventive applications per season on</w:t>
      </w:r>
      <w:r>
        <w:t xml:space="preserve"> </w:t>
      </w:r>
      <w:r>
        <w:t xml:space="preserve">average (mean: 3.0 sprays; median: 2.7 sprays), with minimal variation</w:t>
      </w:r>
      <w:r>
        <w:t xml:space="preserve"> </w:t>
      </w:r>
      <w:r>
        <w:t xml:space="preserve">among varieties. This result indicates that the main management value of</w:t>
      </w:r>
      <w:r>
        <w:t xml:space="preserve"> </w:t>
      </w:r>
      <w:r>
        <w:t xml:space="preserve">FSIM-S lies in delaying unnecessary pre-risk sprays while retaining</w:t>
      </w:r>
      <w:r>
        <w:t xml:space="preserve"> </w:t>
      </w:r>
      <w:r>
        <w:t xml:space="preserve">protection near the simulated infection window.</w:t>
      </w:r>
    </w:p>
    <w:p>
      <w:pPr>
        <w:pStyle w:val="Normal"/>
        <w:spacing w:line="480" w:lineRule="auto"/>
      </w:pPr>
      <w:r>
        <w:t xml:space="preserve">Spatially, higher saving potential was concentrated in central–southern</w:t>
      </w:r>
      <w:r>
        <w:t xml:space="preserve"> </w:t>
      </w:r>
      <w:r>
        <w:t xml:space="preserve">and southwestern Guangxi, where simulated first-infection onset tended</w:t>
      </w:r>
      <w:r>
        <w:t xml:space="preserve"> </w:t>
      </w:r>
      <w:r>
        <w:t xml:space="preserve">to occur later relative to the representative calendar programme, whereas</w:t>
      </w:r>
      <w:r>
        <w:t xml:space="preserve"> </w:t>
      </w:r>
      <w:r>
        <w:t xml:space="preserve">northern and northeastern areas showed relatively lower savings</w:t>
      </w:r>
      <w:r>
        <w:t xml:space="preserve"> </w:t>
      </w:r>
      <w:r>
        <w:t xml:space="preserve">(</w:t>
      </w:r>
      <w:hyperlink w:anchor="X4938b1fdd1a98202e3dc218a93e702281b17c98">
        <w:r>
          <w:rPr>
            <w:rStyle w:val="Hyperlink"/>
          </w:rPr>
          <w:t xml:space="preserve">Fig 13a–c</w:t>
        </w:r>
      </w:hyperlink>
      <w:r>
        <w:t xml:space="preserve">). This spatial pattern was</w:t>
      </w:r>
      <w:r>
        <w:t xml:space="preserve"> </w:t>
      </w:r>
      <w:r>
        <w:t xml:space="preserve">consistent across all three varieties.</w:t>
      </w:r>
    </w:p>
    <w:p>
      <w:pPr>
        <w:pStyle w:val="Normal"/>
        <w:spacing w:line="480" w:lineRule="auto"/>
      </w:pPr>
      <w:r>
        <w:t xml:space="preserve">The frequency distribution (</w:t>
      </w:r>
      <w:hyperlink w:anchor="X4938b1fdd1a98202e3dc218a93e702281b17c98">
        <w:r>
          <w:rPr>
            <w:rStyle w:val="Hyperlink"/>
          </w:rPr>
          <w:t xml:space="preserve">Fig 13d</w:t>
        </w:r>
      </w:hyperlink>
      <w:r>
        <w:t xml:space="preserve">) showed</w:t>
      </w:r>
      <w:r>
        <w:t xml:space="preserve"> </w:t>
      </w:r>
      <w:r>
        <w:t xml:space="preserve">that spray savings were predominantly two to four applications per</w:t>
      </w:r>
      <w:r>
        <w:t xml:space="preserve"> </w:t>
      </w:r>
      <w:r>
        <w:t xml:space="preserve">season, with two or three sprays being the most common. Higher savings</w:t>
      </w:r>
      <w:r>
        <w:t xml:space="preserve"> </w:t>
      </w:r>
      <w:r>
        <w:t xml:space="preserve">(</w:t>
      </w:r>
      <ns5:oMath>
        <ns5:r>
          <ns5:rPr>
            <ns5:sty ns5:val="p"/>
          </ns5:rPr>
          <ns5:t>≥</ns5:t>
        </ns5:r>
      </ns5:oMath>
      <w:r>
        <w:t xml:space="preserve">5 sprays) occurred less frequently but were present in certain</w:t>
      </w:r>
      <w:r>
        <w:t xml:space="preserve"> </w:t>
      </w:r>
      <w:r>
        <w:t xml:space="preserve">locations. The overall distribution structures were highly similar among</w:t>
      </w:r>
      <w:r>
        <w:t xml:space="preserve"> </w:t>
      </w:r>
      <w:r>
        <w:t xml:space="preserve">varieties, suggesting that spatial climatic variability exerted a</w:t>
      </w:r>
      <w:r>
        <w:t xml:space="preserve"> </w:t>
      </w:r>
      <w:r>
        <w:t xml:space="preserve">stronger influence on early-season management timing than the simplified</w:t>
      </w:r>
      <w:r>
        <w:t xml:space="preserve"> </w:t>
      </w:r>
      <w:r>
        <w:t xml:space="preserve">variety scenarios considered here.</w:t>
      </w:r>
    </w:p>
    <w:bookmarkStart w:id="92" w:name="X4938b1fdd1a98202e3dc218a93e702281b17c98"/>
    <w:p>
      <w:pPr>
        <w:pStyle w:val="CaptionedFigure"/>
        <w:jc w:val="center"/>
      </w:pPr>
      <w:r>
        <w:drawing>
          <ns2:inline>
            <ns2:extent cx="5441315" cy="3562356"/>
            <ns2:effectExtent b="0" l="0" r="0" t="0"/>
            <ns2:docPr descr="" title="" id="90" name="Picture"/>
            <ns3:graphic>
              <ns3:graphicData uri="http://schemas.openxmlformats.org/drawingml/2006/picture">
                <ns4:pic>
                  <ns4:nvPicPr>
                    <ns4:cNvPr descr="paper/manuscript_eja_media/media/image13.png" id="91" name="Picture"/>
                    <ns4:cNvPicPr>
                      <ns3:picLocks noChangeArrowheads="1" noChangeAspect="1"/>
                    </ns4:cNvPicPr>
                  </ns4:nvPicPr>
                  <ns4:blipFill>
                    <ns3:blip r:embed="rId89"/>
                    <ns3:stretch>
                      <ns3:fillRect/>
                    </ns3:stretch>
                  </ns4:blipFill>
                  <ns4:spPr bwMode="auto">
                    <ns3:xfrm>
                      <ns3:off x="0" y="0"/>
                      <ns3:ext cx="5441315" cy="3562356"/>
                    </ns3:xfrm>
                    <ns3:prstGeom prst="rect">
                      <ns3:avLst/>
                    </ns3:prstGeom>
                    <ns3:noFill/>
                    <ns3:ln w="9525">
                      <ns3:noFill/>
                      <ns3:headEnd/>
                      <ns3:tailEnd/>
                    </ns3:ln>
                  </ns4:spPr>
                </ns4:pic>
              </ns3:graphicData>
            </ns3:graphic>
          </ns2:inline>
        </w:drawing>
      </w:r>
    </w:p>
    <w:p>
      <w:pPr>
        <w:pStyle w:val="FigureCaption"/>
        <w:jc w:val="center"/>
        <w:ind w:left="0" w:hanging="0"/>
      </w:pPr>
      <w:r>
        <w:rPr>
          <w:rFonts w:ascii="Times New Roman" w:hAnsi="Times New Roman" w:eastAsia="Times New Roman" w:cs="Times New Roman"/>
          <w:sz w:val="20"/>
          <w:szCs w:val="20"/>
          <w:i/>
          <w:iCs/>
        </w:rPr>
        <w:t xml:space="preserve">Figure 13. Spatial distribution and frequency of model-guided spray savings under the FSIM-S model: (a–c) multi-year mean number of sprays saved per grid cell for the Wink (WK), Kyoho (JF), and Yeniang No. 2 (MPT), and (d) frequency distribution of spray savings.</w:t>
      </w:r>
    </w:p>
    <w:bookmarkEnd w:id="92"/>
    <w:bookmarkEnd w:id="93"/>
    <w:bookmarkEnd w:id="94"/>
    <w:bookmarkStart w:id="99" w:name="discussion"/>
    <w:p>
      <w:pPr>
        <w:pStyle w:val="Heading1"/>
      </w:pPr>
      <w:r>
        <w:t xml:space="preserve">Discussion</w:t>
      </w:r>
    </w:p>
    <w:p>
      <w:pPr>
        <w:pStyle w:val="FirstParagraph"/>
        <w:spacing w:line="480" w:lineRule="auto"/>
      </w:pPr>
      <w:r>
        <w:t xml:space="preserve">This study addressed a key agronomic challenge in subtropical</w:t>
      </w:r>
      <w:r>
        <w:t xml:space="preserve"> </w:t>
      </w:r>
      <w:r>
        <w:t xml:space="preserve">viticulture: improving early-season grapevine downy mildew management</w:t>
      </w:r>
      <w:r>
        <w:t xml:space="preserve"> </w:t>
      </w:r>
      <w:r>
        <w:t xml:space="preserve">when viable inoculum may be present before weather and crop conditions</w:t>
      </w:r>
      <w:r>
        <w:t xml:space="preserve"> </w:t>
      </w:r>
      <w:r>
        <w:t xml:space="preserve">become jointly favourable for infection. By reconstructing Rossi’s</w:t>
      </w:r>
      <w:r>
        <w:t xml:space="preserve"> </w:t>
      </w:r>
      <w:r>
        <w:t xml:space="preserve">primary and secondary infection formulations into a First Seasonal</w:t>
      </w:r>
      <w:r>
        <w:t xml:space="preserve"> </w:t>
      </w:r>
      <w:r>
        <w:t xml:space="preserve">Infection Model (FSIM), and then incorporating observation-based</w:t>
      </w:r>
      <w:r>
        <w:t xml:space="preserve"> </w:t>
      </w:r>
      <w:r>
        <w:t xml:space="preserve">spore-pressure dynamics (FSIM-S), the study linked on-farm inoculum</w:t>
      </w:r>
      <w:r>
        <w:t xml:space="preserve"> </w:t>
      </w:r>
      <w:r>
        <w:t xml:space="preserve">monitoring with agroclimatic process modelling.</w:t>
      </w:r>
    </w:p>
    <w:p>
      <w:pPr>
        <w:pStyle w:val="Normal"/>
        <w:spacing w:line="480" w:lineRule="auto"/>
      </w:pPr>
      <w:r>
        <w:t xml:space="preserve">Across multiple site–year datasets from Guangxi, China, FSIM-S</w:t>
      </w:r>
      <w:r>
        <w:t xml:space="preserve"> </w:t>
      </w:r>
      <w:r>
        <w:t xml:space="preserve">improved prediction accuracy and stability compared with FSIM while</w:t>
      </w:r>
      <w:r>
        <w:t xml:space="preserve"> </w:t>
      </w:r>
      <w:r>
        <w:t xml:space="preserve">retaining the dominant influence of meteorological drivers. These</w:t>
      </w:r>
      <w:r>
        <w:t xml:space="preserve"> </w:t>
      </w:r>
      <w:r>
        <w:t xml:space="preserve">results support the use of FSIM-S as a region-adapted mechanistic</w:t>
      </w:r>
      <w:r>
        <w:t xml:space="preserve"> </w:t>
      </w:r>
      <w:r>
        <w:t xml:space="preserve">framework for field-based downy mildew decision support in subtropical</w:t>
      </w:r>
      <w:r>
        <w:t xml:space="preserve"> </w:t>
      </w:r>
      <w:r>
        <w:t xml:space="preserve">vineyards, rather than as an empirical model fitted only to symptom</w:t>
      </w:r>
      <w:r>
        <w:t xml:space="preserve"> </w:t>
      </w:r>
      <w:r>
        <w:t xml:space="preserve">dates.</w:t>
      </w:r>
    </w:p>
    <w:bookmarkStart w:id="95" w:name="Xce1e58abb7046dfff99e0e09923766800fa8c3c"/>
    <w:p>
      <w:pPr>
        <w:pStyle w:val="Heading2"/>
      </w:pPr>
      <w:r>
        <w:t xml:space="preserve">Inoculum dynamics and the drivers of first seasonal</w:t>
      </w:r>
      <w:r>
        <w:t xml:space="preserve"> </w:t>
      </w:r>
      <w:r>
        <w:t xml:space="preserve">infection</w:t>
      </w:r>
      <w:r>
        <w:t xml:space="preserve"> </w:t>
      </w:r>
      <w:r>
        <w:t xml:space="preserve">timing</w:t>
      </w:r>
    </w:p>
    <w:p>
      <w:pPr>
        <w:pStyle w:val="FirstParagraph"/>
        <w:spacing w:line="480" w:lineRule="auto"/>
      </w:pPr>
      <w:r>
        <w:t xml:space="preserve">In temperate systems, seasonal epidemics are typically initiated by</w:t>
      </w:r>
      <w:r>
        <w:t xml:space="preserve"> </w:t>
      </w:r>
      <w:r>
        <w:t xml:space="preserve">overwintering oospores after a distinct climatic break. In contrast, the</w:t>
      </w:r>
      <w:r>
        <w:t xml:space="preserve"> </w:t>
      </w:r>
      <w:r>
        <w:t xml:space="preserve">continuous presence of airborne sporangia during the early growing</w:t>
      </w:r>
      <w:r>
        <w:t xml:space="preserve"> </w:t>
      </w:r>
      <w:r>
        <w:t xml:space="preserve">season (</w:t>
      </w:r>
      <w:hyperlink w:anchor="Xe6e679311f335389e47f354d0dda93b5fedceaa">
        <w:r>
          <w:rPr>
            <w:rStyle w:val="Hyperlink"/>
          </w:rPr>
          <w:t xml:space="preserve">Fig 5</w:t>
        </w:r>
      </w:hyperlink>
      <w:r>
        <w:t xml:space="preserve">,</w:t>
      </w:r>
      <w:r>
        <w:t xml:space="preserve"> </w:t>
      </w:r>
      <w:hyperlink w:anchor="X3dd1693b9934f606fb510edaa0fbc91d71c8b41">
        <w:r>
          <w:rPr>
            <w:rStyle w:val="Hyperlink"/>
          </w:rPr>
          <w:t xml:space="preserve">Fig</w:t>
        </w:r>
        <w:r>
          <w:rPr>
            <w:rStyle w:val="Hyperlink"/>
          </w:rPr>
          <w:t xml:space="preserve"> </w:t>
        </w:r>
        <w:r>
          <w:rPr>
            <w:rStyle w:val="Hyperlink"/>
          </w:rPr>
          <w:t xml:space="preserve">8</w:t>
        </w:r>
      </w:hyperlink>
      <w:r>
        <w:t xml:space="preserve">) indicates that inoculum in the studied subtropical vineyards is not</w:t>
      </w:r>
      <w:r>
        <w:t xml:space="preserve"> </w:t>
      </w:r>
      <w:r>
        <w:t xml:space="preserve">restricted to a discrete primary infection event. This distinction has</w:t>
      </w:r>
      <w:r>
        <w:t xml:space="preserve"> </w:t>
      </w:r>
      <w:r>
        <w:t xml:space="preserve">direct implications for model structure, because frameworks centred on</w:t>
      </w:r>
      <w:r>
        <w:t xml:space="preserve"> </w:t>
      </w:r>
      <w:r>
        <w:t xml:space="preserve">oospore-driven primary infection may not fully represent systems in</w:t>
      </w:r>
      <w:r>
        <w:t xml:space="preserve"> </w:t>
      </w:r>
      <w:r>
        <w:t xml:space="preserve">which asexual inoculum is recurrently available.</w:t>
      </w:r>
    </w:p>
    <w:p>
      <w:pPr>
        <w:pStyle w:val="Normal"/>
        <w:spacing w:line="480" w:lineRule="auto"/>
      </w:pPr>
      <w:r>
        <w:t>Despite this continuous inoculum presence, the timing of first seasonal</w:t>
      </w:r>
      <w:r>
        <w:t xml:space="preserve"> </w:t>
      </w:r>
      <w:r>
        <w:t>infection varied substantially across sites and years</w:t>
      </w:r>
      <w:r>
        <w:t xml:space="preserve"> </w:t>
      </w:r>
      <w:r>
        <w:t>(</w:t>
      </w:r>
      <w:hyperlink w:anchor="X3dd1693b9934f606fb510edaa0fbc91d71c8b41" w:history="1">
        <w:r>
          <w:rPr>
            <w:rStyle w:val="Hyperlink"/>
          </w:rPr>
          <w:t>Fig 8</w:t>
        </w:r>
      </w:hyperlink>
      <w:r>
        <w:t>). This variability is consistent with</w:t>
      </w:r>
      <w:r>
        <w:t xml:space="preserve"> </w:t>
      </w:r>
      <w:r>
        <w:t>interannual differences in early-season meteorological conditions.</w:t>
      </w:r>
      <w:r>
        <w:t xml:space="preserve"> </w:t>
      </w:r>
      <w:r>
        <w:t>Temperature, relative humidity, and leaf wetness duration regulate</w:t>
      </w:r>
      <w:r>
        <w:t xml:space="preserve"> </w:t>
      </w:r>
      <w:r>
        <w:t>infection initiation (</w:t>
      </w:r>
      <w:hyperlink w:anchor="ref_rossi_2012_42" w:history="1">
        <w:r>
          <w:rPr>
            <w:rStyle w:val="Hyperlink"/>
          </w:rPr>
          <w:t>Rossi and Caffi, 2012</w:t>
        </w:r>
      </w:hyperlink>
      <w:r>
        <w:t xml:space="preserve">; </w:t>
      </w:r>
      <w:hyperlink w:anchor="ref_yi_2019_56" w:history="1">
        <w:r>
          <w:rPr>
            <w:rStyle w:val="Hyperlink"/>
          </w:rPr>
          <w:t>Yi et al., 2019</w:t>
        </w:r>
      </w:hyperlink>
      <w:r>
        <w:t xml:space="preserve">; </w:t>
      </w:r>
      <w:hyperlink w:anchor="ref_yu_2022_58" w:history="1">
        <w:r>
          <w:rPr>
            <w:rStyle w:val="Hyperlink"/>
          </w:rPr>
          <w:t>Yu et al., 2022</w:t>
        </w:r>
      </w:hyperlink>
      <w:r>
        <w:t>), whereas sustained rainfall can promote sporangial</w:t>
      </w:r>
      <w:r>
        <w:t xml:space="preserve"> </w:t>
      </w:r>
      <w:r>
        <w:t>production, release and dispersal from vineyard inoculum sources</w:t>
      </w:r>
      <w:r>
        <w:t xml:space="preserve"> </w:t>
      </w:r>
      <w:r>
        <w:t>(</w:t>
      </w:r>
      <w:hyperlink w:anchor="ref_orlandini_2008_37" w:history="1">
        <w:r>
          <w:rPr>
            <w:rStyle w:val="Hyperlink"/>
          </w:rPr>
          <w:t>Orlandini et al., 2008</w:t>
        </w:r>
      </w:hyperlink>
      <w:r>
        <w:t>). Accordingly, climate variability affects</w:t>
      </w:r>
      <w:r>
        <w:t xml:space="preserve"> </w:t>
      </w:r>
      <w:r>
        <w:t>disease onset through both infection suitability and inoculum dynamics,</w:t>
      </w:r>
      <w:r>
        <w:t xml:space="preserve"> </w:t>
      </w:r>
      <w:r>
        <w:t>explaining why first seasonal infection cannot be inferred from weather</w:t>
      </w:r>
      <w:r>
        <w:t xml:space="preserve"> </w:t>
      </w:r>
      <w:r>
        <w:t>suitability alone.</w:t>
      </w:r>
    </w:p>
    <w:p>
      <w:pPr>
        <w:pStyle w:val="Normal"/>
        <w:spacing w:line="480" w:lineRule="auto"/>
      </w:pPr>
      <w:r>
        <w:t>The temporal decoupling between sporangia detection and symptom onset</w:t>
      </w:r>
      <w:r>
        <w:t xml:space="preserve"> </w:t>
      </w:r>
      <w:r>
        <w:t>provides further evidence for this interpretation. Across all datasets,</w:t>
      </w:r>
      <w:r>
        <w:t xml:space="preserve"> </w:t>
      </w:r>
      <w:r>
        <w:t>the interval between first airborne sporangia detection and subsequent</w:t>
      </w:r>
      <w:r>
        <w:t xml:space="preserve"> </w:t>
      </w:r>
      <w:r>
        <w:t>symptom appearance ranged from 9 to 72 days</w:t>
      </w:r>
      <w:r>
        <w:t xml:space="preserve"> </w:t>
      </w:r>
      <w:r>
        <w:t>(</w:t>
      </w:r>
      <w:hyperlink w:anchor="X3dd1693b9934f606fb510edaa0fbc91d71c8b41" w:history="1">
        <w:r>
          <w:rPr>
            <w:rStyle w:val="Hyperlink"/>
          </w:rPr>
          <w:t>Fig 8</w:t>
        </w:r>
      </w:hyperlink>
      <w:r>
        <w:t>), indicating that the presence of</w:t>
      </w:r>
      <w:r>
        <w:t xml:space="preserve"> </w:t>
      </w:r>
      <w:r>
        <w:t>inoculum is necessary but insufficient for successful infection.</w:t>
      </w:r>
      <w:r>
        <w:t xml:space="preserve"> </w:t>
      </w:r>
      <w:r>
        <w:t>Infection establishment depends also on host phenological susceptibility</w:t>
      </w:r>
      <w:r>
        <w:t xml:space="preserve"> </w:t>
      </w:r>
      <w:r>
        <w:t>(</w:t>
      </w:r>
      <w:hyperlink w:anchor="ref_hui_2022_24" w:history="1">
        <w:r>
          <w:rPr>
            <w:rStyle w:val="Hyperlink"/>
          </w:rPr>
          <w:t>Hui et al., 2022</w:t>
        </w:r>
      </w:hyperlink>
      <w:r>
        <w:t>) and on sufficient inoculum pressure to support</w:t>
      </w:r>
      <w:r>
        <w:t xml:space="preserve"> </w:t>
      </w:r>
      <w:r>
        <w:t>effective deposition and infection (</w:t>
      </w:r>
      <w:hyperlink w:anchor="ref_scholthof_2007_47" w:history="1">
        <w:r>
          <w:rPr>
            <w:rStyle w:val="Hyperlink"/>
          </w:rPr>
          <w:t>Scholthof, 2007</w:t>
        </w:r>
      </w:hyperlink>
      <w:r>
        <w:t xml:space="preserve">; </w:t>
      </w:r>
      <w:hyperlink w:anchor="ref_vanderplank_2013_53" w:history="1">
        <w:r>
          <w:rPr>
            <w:rStyle w:val="Hyperlink"/>
          </w:rPr>
          <w:t>Van der Plank, 2013</w:t>
        </w:r>
      </w:hyperlink>
      <w:r>
        <w:t xml:space="preserve">; </w:t>
      </w:r>
      <w:hyperlink w:anchor="ref_zhang_2025_61" w:history="1">
        <w:r>
          <w:rPr>
            <w:rStyle w:val="Hyperlink"/>
          </w:rPr>
          <w:t>Zhang et al., 2025</w:t>
        </w:r>
      </w:hyperlink>
      <w:r>
        <w:t>). This decoupling indicates that inoculum</w:t>
      </w:r>
      <w:r>
        <w:t xml:space="preserve"> </w:t>
      </w:r>
      <w:r>
        <w:t>pressure should be represented as a dynamic constraint on infection</w:t>
      </w:r>
      <w:r>
        <w:t xml:space="preserve"> </w:t>
      </w:r>
      <w:r>
        <w:t>triggering, rather than treated as a static prerequisite.</w:t>
      </w:r>
    </w:p>
    <w:bookmarkEnd w:id="95"/>
    <w:bookmarkStart w:id="96" w:name="X59a7553985fdeead5105faccf6c3a0f3359eab0"/>
    <w:p>
      <w:pPr>
        <w:pStyle w:val="Heading2"/>
      </w:pPr>
      <w:r>
        <w:t xml:space="preserve">Model enhancement and evidence from sensitivity</w:t>
      </w:r>
      <w:r>
        <w:t xml:space="preserve"> </w:t>
      </w:r>
      <w:r>
        <w:t xml:space="preserve">analysis</w:t>
      </w:r>
    </w:p>
    <w:p>
      <w:pPr>
        <w:pStyle w:val="FirstParagraph"/>
        <w:spacing w:line="480" w:lineRule="auto"/>
      </w:pPr>
      <w:r>
        <w:t>The incorporation of spore-pressure dynamics into FSIM-S improved</w:t>
      </w:r>
      <w:r>
        <w:t xml:space="preserve"> </w:t>
      </w:r>
      <w:r>
        <w:t>predictive performance relative to the baseline FSIM, with validation</w:t>
      </w:r>
      <w:r>
        <w:t xml:space="preserve"> </w:t>
      </w:r>
      <w:r>
        <w:t>MAE reduced to 6.3 days (32% reduction) (</w:t>
      </w:r>
      <w:hyperlink w:anchor="X3db1492c7dfd0abe2393c52f56e2c9738b3a9e3" w:history="1">
        <w:r>
          <w:rPr>
            <w:rStyle w:val="Hyperlink"/>
          </w:rPr>
          <w:t>Fig 11</w:t>
        </w:r>
      </w:hyperlink>
      <w:r>
        <w:t>). The improvement suggests that first seasonal infection tends to</w:t>
      </w:r>
      <w:r>
        <w:t xml:space="preserve"> </w:t>
      </w:r>
      <w:r>
        <w:t>occur within comparatively narrow windows in which environmental</w:t>
      </w:r>
      <w:r>
        <w:t xml:space="preserve"> </w:t>
      </w:r>
      <w:r>
        <w:t>suitability coincides with sufficient pathogen pressure, consistent with</w:t>
      </w:r>
      <w:r>
        <w:t xml:space="preserve"> </w:t>
      </w:r>
      <w:r>
        <w:t>the disease triangle concept (</w:t>
      </w:r>
      <w:hyperlink w:anchor="ref_vanderplank_2013_53" w:history="1">
        <w:r>
          <w:rPr>
            <w:rStyle w:val="Hyperlink"/>
          </w:rPr>
          <w:t>Van der Plank, 2013</w:t>
        </w:r>
      </w:hyperlink>
      <w:r>
        <w:t>). The model therefore</w:t>
      </w:r>
      <w:r>
        <w:t xml:space="preserve"> </w:t>
      </w:r>
      <w:r>
        <w:t>adds process information beyond weather-only infection suitability while</w:t>
      </w:r>
      <w:r>
        <w:t xml:space="preserve"> </w:t>
      </w:r>
      <w:r>
        <w:t>retaining direct biological interpretability.</w:t>
      </w:r>
    </w:p>
    <w:p>
      <w:pPr>
        <w:pStyle w:val="Normal"/>
        <w:spacing w:line="480" w:lineRule="auto"/>
      </w:pPr>
      <w:r>
        <w:t>Simulations using the final global parameter configuration revealed</w:t>
      </w:r>
      <w:r>
        <w:t xml:space="preserve"> </w:t>
      </w:r>
      <w:r>
        <w:t>site-specific performance patterns (</w:t>
      </w:r>
      <w:hyperlink w:anchor="X373d67d1fe905f2777f8c41fb2c6aa9ed6efc76" w:history="1">
        <w:r>
          <w:rPr>
            <w:rStyle w:val="Hyperlink"/>
          </w:rPr>
          <w:t>Table 3</w:t>
        </w:r>
      </w:hyperlink>
      <w:r>
        <w:t>).</w:t>
      </w:r>
      <w:r>
        <w:t xml:space="preserve"> </w:t>
      </w:r>
      <w:r>
        <w:t>The larger deviation in Guilin occurred in the single available season</w:t>
      </w:r>
      <w:r>
        <w:t xml:space="preserve"> </w:t>
      </w:r>
      <w:r>
        <w:t>for that site and may reflect local epidemiological conditions that were</w:t>
      </w:r>
      <w:r>
        <w:t xml:space="preserve"> </w:t>
      </w:r>
      <w:r>
        <w:t>less represented in the calibration dataset. By contrast, the stable</w:t>
      </w:r>
      <w:r>
        <w:t xml:space="preserve"> </w:t>
      </w:r>
      <w:r>
        <w:t>multi-year performance in Hechi—including zero error in 2023—shows</w:t>
      </w:r>
      <w:r>
        <w:t xml:space="preserve"> </w:t>
      </w:r>
      <w:r>
        <w:t>that FSIM-S can reproduce infection timing when observations provide</w:t>
      </w:r>
      <w:r>
        <w:t xml:space="preserve"> </w:t>
      </w:r>
      <w:r>
        <w:t>adequate constraints on the relationship between inoculum dynamics and</w:t>
      </w:r>
      <w:r>
        <w:t xml:space="preserve"> </w:t>
      </w:r>
      <w:r>
        <w:t>weather suitability (</w:t>
      </w:r>
      <w:hyperlink w:anchor="ref_yi_2019_56" w:history="1">
        <w:r>
          <w:rPr>
            <w:rStyle w:val="Hyperlink"/>
          </w:rPr>
          <w:t>Yi et al., 2019</w:t>
        </w:r>
      </w:hyperlink>
      <w:r>
        <w:t>). In Nanning, the modest positive</w:t>
      </w:r>
      <w:r>
        <w:t xml:space="preserve"> </w:t>
      </w:r>
      <w:r>
        <w:t>bias in 2023–2024 suggests that local microclimate, cultivation</w:t>
      </w:r>
      <w:r>
        <w:t xml:space="preserve"> </w:t>
      </w:r>
      <w:r>
        <w:t>practices, or cultivar resistance may further refine model transfer</w:t>
      </w:r>
      <w:r>
        <w:t xml:space="preserve"> </w:t>
      </w:r>
      <w:r>
        <w:t>across sites (</w:t>
      </w:r>
      <w:hyperlink w:anchor="ref_kiefer_2002_26" w:history="1">
        <w:r>
          <w:rPr>
            <w:rStyle w:val="Hyperlink"/>
          </w:rPr>
          <w:t>Kiefer et al., 2002</w:t>
        </w:r>
      </w:hyperlink>
      <w:r>
        <w:t xml:space="preserve">; </w:t>
      </w:r>
      <w:hyperlink w:anchor="ref_gessler_2011_15" w:history="1">
        <w:r>
          <w:rPr>
            <w:rStyle w:val="Hyperlink"/>
          </w:rPr>
          <w:t>Gessler et al., 2011</w:t>
        </w:r>
      </w:hyperlink>
      <w:r>
        <w:t>).</w:t>
      </w:r>
    </w:p>
    <w:p>
      <w:pPr>
        <w:pStyle w:val="Normal"/>
        <w:spacing w:line="480" w:lineRule="auto"/>
      </w:pPr>
      <w:r>
        <w:t>Sensitivity analysis clarified the relative contribution of model</w:t>
      </w:r>
      <w:r>
        <w:t xml:space="preserve"> </w:t>
      </w:r>
      <w:r>
        <w:t>drivers (</w:t>
      </w:r>
      <w:hyperlink w:anchor="X415e9945071b9c01cdaa92cf0c5b2ce9c10bf98" w:history="1">
        <w:r>
          <w:rPr>
            <w:rStyle w:val="Hyperlink"/>
          </w:rPr>
          <w:t>Fig 9</w:t>
        </w:r>
      </w:hyperlink>
      <w:r>
        <w:t>,</w:t>
      </w:r>
      <w:r>
        <w:t xml:space="preserve"> </w:t>
      </w:r>
      <w:hyperlink w:anchor="Xf29f41e9327e6db842647b0ef4d03a7aac075f9" w:history="1">
        <w:r>
          <w:rPr>
            <w:rStyle w:val="Hyperlink"/>
          </w:rPr>
          <w:t>Fig 10</w:t>
        </w:r>
      </w:hyperlink>
      <w:r>
        <w:t>). In both models, moisture-related</w:t>
      </w:r>
      <w:r>
        <w:t xml:space="preserve"> </w:t>
      </w:r>
      <w:r>
        <w:t>conditions (ZVPD) exerted the strongest negative influence, reflecting</w:t>
      </w:r>
      <w:r>
        <w:t xml:space="preserve"> </w:t>
      </w:r>
      <w:r>
        <w:t>the critical role of humidity in zoospore release and leaf surface</w:t>
      </w:r>
      <w:r>
        <w:t xml:space="preserve"> </w:t>
      </w:r>
      <w:r>
        <w:t>wetness (</w:t>
      </w:r>
      <w:hyperlink w:anchor="ref_yu_2021_59" w:history="1">
        <w:r>
          <w:rPr>
            <w:rStyle w:val="Hyperlink"/>
          </w:rPr>
          <w:t>Yu et al., 2021</w:t>
        </w:r>
      </w:hyperlink>
      <w:r>
        <w:t xml:space="preserve">; </w:t>
      </w:r>
      <w:hyperlink w:anchor="ref_hui_2023_23" w:history="1">
        <w:r>
          <w:rPr>
            <w:rStyle w:val="Hyperlink"/>
          </w:rPr>
          <w:t>Hui et al., 2023</w:t>
        </w:r>
      </w:hyperlink>
      <w:r>
        <w:t>). In</w:t>
      </w:r>
      <w:r>
        <w:t xml:space="preserve"> </w:t>
      </w:r>
      <w:r>
        <w:t>FSIM-S, the newly introduced spore-pressure regulation parameter SAP</w:t>
      </w:r>
      <w:r>
        <w:t xml:space="preserve"> </w:t>
      </w:r>
      <w:r>
        <w:t>exhibited a moderate negative directional effect, indicating that higher</w:t>
      </w:r>
      <w:r>
        <w:t xml:space="preserve"> </w:t>
      </w:r>
      <w:r>
        <w:t>inoculum pressure facilitates earlier attainment of infection thresholds</w:t>
      </w:r>
      <w:r>
        <w:t xml:space="preserve"> </w:t>
      </w:r>
      <w:r>
        <w:t>(</w:t>
      </w:r>
      <w:hyperlink w:anchor="ref_brischetto_2021_5" w:history="1">
        <w:r>
          <w:rPr>
            <w:rStyle w:val="Hyperlink"/>
          </w:rPr>
          <w:t>Brischetto et al., 2021</w:t>
        </w:r>
      </w:hyperlink>
      <w:r>
        <w:t>). Notably, SAP did not alter the dominant</w:t>
      </w:r>
      <w:r>
        <w:t xml:space="preserve"> </w:t>
      </w:r>
      <w:r>
        <w:t>sensitivity ranking of environmental drivers, suggesting that inoculum</w:t>
      </w:r>
      <w:r>
        <w:t xml:space="preserve"> </w:t>
      </w:r>
      <w:r>
        <w:t>pressure acts primarily as an infection-trigger amplifier rather than</w:t>
      </w:r>
      <w:r>
        <w:t xml:space="preserve"> </w:t>
      </w:r>
      <w:r>
        <w:t>replacing meteorological drivers.</w:t>
      </w:r>
    </w:p>
    <w:p>
      <w:pPr>
        <w:pStyle w:val="Normal"/>
        <w:spacing w:line="480" w:lineRule="auto"/>
      </w:pPr>
      <w:r>
        <w:t xml:space="preserve">Overall, FSIM provides a mechanistic representation of first seasonal</w:t>
      </w:r>
      <w:r>
        <w:t xml:space="preserve"> </w:t>
      </w:r>
      <w:r>
        <w:t xml:space="preserve">infection processes in subtropical vineyards where recurrent sporangia</w:t>
      </w:r>
      <w:r>
        <w:t xml:space="preserve"> </w:t>
      </w:r>
      <w:r>
        <w:t xml:space="preserve">production is a major inoculum source. FSIM-S further integrates an</w:t>
      </w:r>
      <w:r>
        <w:t xml:space="preserve"> </w:t>
      </w:r>
      <w:r>
        <w:t xml:space="preserve">observation-derived spore-pressure field, improving responsiveness to</w:t>
      </w:r>
      <w:r>
        <w:t xml:space="preserve"> </w:t>
      </w:r>
      <w:r>
        <w:t xml:space="preserve">infection timing variability while preserving the core biological</w:t>
      </w:r>
      <w:r>
        <w:t xml:space="preserve"> </w:t>
      </w:r>
      <w:r>
        <w:t xml:space="preserve">processes inherited from mechanistic infection modelling. This balance</w:t>
      </w:r>
      <w:r>
        <w:t xml:space="preserve"> </w:t>
      </w:r>
      <w:r>
        <w:t xml:space="preserve">between biological structure and field observation is important for</w:t>
      </w:r>
      <w:r>
        <w:t xml:space="preserve"> </w:t>
      </w:r>
      <w:r>
        <w:t xml:space="preserve">developing transferable early-warning tools under variable subtropical</w:t>
      </w:r>
      <w:r>
        <w:t xml:space="preserve"> </w:t>
      </w:r>
      <w:r>
        <w:t xml:space="preserve">conditions.</w:t>
      </w:r>
    </w:p>
    <w:bookmarkEnd w:id="96"/>
    <w:bookmarkStart w:id="97" w:name="Xf4d378202986a12365178ff1dc00f73e144fcaf"/>
    <w:p>
      <w:pPr>
        <w:pStyle w:val="Heading2"/>
      </w:pPr>
      <w:r>
        <w:t xml:space="preserve">Agronomic implications for climate-smart vineyard disease</w:t>
      </w:r>
      <w:r>
        <w:t xml:space="preserve"> </w:t>
      </w:r>
      <w:r>
        <w:t xml:space="preserve">management</w:t>
      </w:r>
    </w:p>
    <w:p>
      <w:pPr>
        <w:pStyle w:val="FirstParagraph"/>
        <w:spacing w:line="480" w:lineRule="auto"/>
      </w:pPr>
      <w:r>
        <w:t>The regional simulations provide an agronomic interpretation of when</w:t>
      </w:r>
      <w:r>
        <w:t xml:space="preserve"> </w:t>
      </w:r>
      <w:r>
        <w:t>model-guided protection would be most relevant across Guangxi. FSIM-S</w:t>
      </w:r>
      <w:r>
        <w:t xml:space="preserve"> </w:t>
      </w:r>
      <w:r>
        <w:t>predicted a mean first-infection onset between DOY 195 and 198, with a</w:t>
      </w:r>
      <w:r>
        <w:t xml:space="preserve"> </w:t>
      </w:r>
      <w:r>
        <w:t>high-frequency window spanning DOY 180–210</w:t>
      </w:r>
      <w:r>
        <w:t xml:space="preserve"> </w:t>
      </w:r>
      <w:r>
        <w:t>(</w:t>
      </w:r>
      <w:hyperlink w:anchor="Xf2c50318eeabfb1a0d45a7c051b2aa7fa0addd7" w:history="1">
        <w:r>
          <w:rPr>
            <w:rStyle w:val="Hyperlink"/>
          </w:rPr>
          <w:t>Fig 12</w:t>
        </w:r>
      </w:hyperlink>
      <w:r>
        <w:t>). This period overlaps with the</w:t>
      </w:r>
      <w:r>
        <w:t xml:space="preserve"> </w:t>
      </w:r>
      <w:r>
        <w:t>regional flowering–fruit-set stage, when young tissues are particularly</w:t>
      </w:r>
      <w:r>
        <w:t xml:space="preserve"> </w:t>
      </w:r>
      <w:r>
        <w:t>susceptible (</w:t>
      </w:r>
      <w:hyperlink w:anchor="ref_wang_2020_54" w:history="1">
        <w:r>
          <w:rPr>
            <w:rStyle w:val="Hyperlink"/>
          </w:rPr>
          <w:t>Wang et al., 2020</w:t>
        </w:r>
      </w:hyperlink>
      <w:r>
        <w:t xml:space="preserve">; </w:t>
      </w:r>
      <w:hyperlink w:anchor="ref_cheng_2022_13" w:history="1">
        <w:r>
          <w:rPr>
            <w:rStyle w:val="Hyperlink"/>
          </w:rPr>
          <w:t>Cheng et al., 2022</w:t>
        </w:r>
      </w:hyperlink>
      <w:r>
        <w:t>), and with the Meiyu</w:t>
      </w:r>
      <w:r>
        <w:t xml:space="preserve"> </w:t>
      </w:r>
      <w:r>
        <w:t>season, characterized by warm, humid conditions and intermittent</w:t>
      </w:r>
      <w:r>
        <w:t xml:space="preserve"> </w:t>
      </w:r>
      <w:r>
        <w:t>rainfall (</w:t>
      </w:r>
      <w:hyperlink w:anchor="ref_song_2021_48" w:history="1">
        <w:r>
          <w:rPr>
            <w:rStyle w:val="Hyperlink"/>
          </w:rPr>
          <w:t>Song et al., 2021</w:t>
        </w:r>
      </w:hyperlink>
      <w:r>
        <w:t xml:space="preserve">; </w:t>
      </w:r>
      <w:hyperlink w:anchor="ref_tian_2022_52" w:history="1">
        <w:r>
          <w:rPr>
            <w:rStyle w:val="Hyperlink"/>
          </w:rPr>
          <w:t>Tian et al., 2022</w:t>
        </w:r>
      </w:hyperlink>
      <w:r>
        <w:t>). Thus, the regional</w:t>
      </w:r>
      <w:r>
        <w:t xml:space="preserve"> </w:t>
      </w:r>
      <w:r>
        <w:t>results are not only spatial reconstructions of infection timing; they</w:t>
      </w:r>
      <w:r>
        <w:t xml:space="preserve"> </w:t>
      </w:r>
      <w:r>
        <w:t>also identify the seasonal context in which downy mildew decisions are</w:t>
      </w:r>
      <w:r>
        <w:t xml:space="preserve"> </w:t>
      </w:r>
      <w:r>
        <w:t>most consequential for vineyard production.</w:t>
      </w:r>
    </w:p>
    <w:p>
      <w:pPr>
        <w:pStyle w:val="Normal"/>
        <w:spacing w:line="480" w:lineRule="auto"/>
      </w:pPr>
      <w:r>
        <w:t>Within this context, the management implication of FSIM-S is to</w:t>
      </w:r>
      <w:r>
        <w:t xml:space="preserve"> </w:t>
      </w:r>
      <w:r>
        <w:t>translate infection biology and agroclimatic variability into a</w:t>
      </w:r>
      <w:r>
        <w:t xml:space="preserve"> </w:t>
      </w:r>
      <w:r>
        <w:t>time-explicit risk signal. This signal can support decisions on early</w:t>
      </w:r>
      <w:r>
        <w:t xml:space="preserve"> </w:t>
      </w:r>
      <w:r>
        <w:t>scouting, spore monitoring intensity, protection timing and chemical</w:t>
      </w:r>
      <w:r>
        <w:t xml:space="preserve"> </w:t>
      </w:r>
      <w:r>
        <w:t>intervention. When model outputs were compared with conventional</w:t>
      </w:r>
      <w:r>
        <w:t xml:space="preserve"> </w:t>
      </w:r>
      <w:r>
        <w:t>calendar-based programmes, the model-guided scenario avoided an average</w:t>
      </w:r>
      <w:r>
        <w:t xml:space="preserve"> </w:t>
      </w:r>
      <w:r>
        <w:t>of approximately three early preventive sprays per season (range:</w:t>
      </w:r>
      <w:r>
        <w:t xml:space="preserve"> </w:t>
      </w:r>
      <w:r>
        <w:t>2–5), equivalent to a 20–50% reduction in the simulated early-season</w:t>
      </w:r>
      <w:r>
        <w:t xml:space="preserve"> </w:t>
      </w:r>
      <w:r>
        <w:t>programme (</w:t>
      </w:r>
      <w:hyperlink w:anchor="ref_gisi_2008_16" w:history="1">
        <w:r>
          <w:rPr>
            <w:rStyle w:val="Hyperlink"/>
          </w:rPr>
          <w:t>Gisi and Sierotzki, 2008</w:t>
        </w:r>
      </w:hyperlink>
      <w:r>
        <w:t xml:space="preserve">; </w:t>
      </w:r>
      <w:hyperlink w:anchor="ref_rossi_2008_43" w:history="1">
        <w:r>
          <w:rPr>
            <w:rStyle w:val="Hyperlink"/>
          </w:rPr>
          <w:t>Rossi et al., 2008</w:t>
        </w:r>
      </w:hyperlink>
      <w:r>
        <w:t xml:space="preserve">; </w:t>
      </w:r>
      <w:hyperlink w:anchor="ref_rossin_2015_44" w:history="1">
        <w:r>
          <w:rPr>
            <w:rStyle w:val="Hyperlink"/>
          </w:rPr>
          <w:t>Rossin et al., 2015</w:t>
        </w:r>
      </w:hyperlink>
      <w:r>
        <w:t xml:space="preserve">; </w:t>
      </w:r>
      <w:hyperlink w:anchor="ref_koledenkova_2022_29" w:history="1">
        <w:r>
          <w:rPr>
            <w:rStyle w:val="Hyperlink"/>
          </w:rPr>
          <w:t>Koledenkova et al., 2022</w:t>
        </w:r>
      </w:hyperlink>
      <w:r>
        <w:t>). This result should be interpreted as a</w:t>
      </w:r>
      <w:r>
        <w:t xml:space="preserve"> </w:t>
      </w:r>
      <w:r>
        <w:t>timing benefit rather than as a generic fungicide-reduction claim: the</w:t>
      </w:r>
      <w:r>
        <w:t xml:space="preserve"> </w:t>
      </w:r>
      <w:r>
        <w:t>model delays pre-risk sprays while retaining protection near the</w:t>
      </w:r>
      <w:r>
        <w:t xml:space="preserve"> </w:t>
      </w:r>
      <w:r>
        <w:t>simulated infection window.</w:t>
      </w:r>
    </w:p>
    <w:p>
      <w:pPr>
        <w:pStyle w:val="Normal"/>
        <w:spacing w:line="480" w:lineRule="auto"/>
      </w:pPr>
      <w:r>
        <w:t>The climate-smart value of this framework therefore lies in shifting</w:t>
      </w:r>
      <w:r>
        <w:t xml:space="preserve"> </w:t>
      </w:r>
      <w:r>
        <w:t>subtropical downy mildew management from fixed calendar schedules toward</w:t>
      </w:r>
      <w:r>
        <w:t xml:space="preserve"> </w:t>
      </w:r>
      <w:r>
        <w:t>risk-informed decision support. FSIM-S does not imply that early</w:t>
      </w:r>
      <w:r>
        <w:t xml:space="preserve"> </w:t>
      </w:r>
      <w:r>
        <w:t>protection can be omitted; rather, it identifies periods when host</w:t>
      </w:r>
      <w:r>
        <w:t xml:space="preserve"> </w:t>
      </w:r>
      <w:r>
        <w:t>susceptibility, spore-pressure dynamics and agroclimatic suitability</w:t>
      </w:r>
      <w:r>
        <w:t xml:space="preserve"> </w:t>
      </w:r>
      <w:r>
        <w:t>converge. Such information can improve the biological justification of</w:t>
      </w:r>
      <w:r>
        <w:t xml:space="preserve"> </w:t>
      </w:r>
      <w:r>
        <w:t>interventions, increase pesticide-use efficiency, and support more</w:t>
      </w:r>
      <w:r>
        <w:t xml:space="preserve"> </w:t>
      </w:r>
      <w:r>
        <w:t>sustainable viticulture under humid subtropical conditions (</w:t>
      </w:r>
      <w:hyperlink w:anchor="ref_russell_1995_46" w:history="1">
        <w:r>
          <w:rPr>
            <w:rStyle w:val="Hyperlink"/>
          </w:rPr>
          <w:t>Russell, 1995</w:t>
        </w:r>
      </w:hyperlink>
      <w:r>
        <w:t xml:space="preserve">; </w:t>
      </w:r>
      <w:hyperlink w:anchor="ref_zubrod_2019_63" w:history="1">
        <w:r>
          <w:rPr>
            <w:rStyle w:val="Hyperlink"/>
          </w:rPr>
          <w:t>Zubrod et al., 2019</w:t>
        </w:r>
      </w:hyperlink>
      <w:r>
        <w:t xml:space="preserve">; </w:t>
      </w:r>
      <w:hyperlink w:anchor="ref_zhang_2020_60" w:history="1">
        <w:r>
          <w:rPr>
            <w:rStyle w:val="Hyperlink"/>
          </w:rPr>
          <w:t>Zhang et al., 2020</w:t>
        </w:r>
      </w:hyperlink>
      <w:r>
        <w:t>).</w:t>
      </w:r>
    </w:p>
    <w:bookmarkEnd w:id="97"/>
    <w:bookmarkStart w:id="98" w:name="limitations-and-future-directions"/>
    <w:p>
      <w:pPr>
        <w:pStyle w:val="Heading2"/>
      </w:pPr>
      <w:r>
        <w:t xml:space="preserve">Limitations and future</w:t>
      </w:r>
      <w:r>
        <w:t xml:space="preserve"> </w:t>
      </w:r>
      <w:r>
        <w:t xml:space="preserve">directions</w:t>
      </w:r>
    </w:p>
    <w:p>
      <w:pPr>
        <w:pStyle w:val="FirstParagraph"/>
        <w:spacing w:line="480" w:lineRule="auto"/>
      </w:pPr>
      <w:r>
        <w:t>First, model parameterization used observations from two commercial</w:t>
      </w:r>
      <w:r>
        <w:t xml:space="preserve"> </w:t>
      </w:r>
      <w:r>
        <w:t>vineyards and one experimental orchard over three growing seasons. This</w:t>
      </w:r>
      <w:r>
        <w:t xml:space="preserve"> </w:t>
      </w:r>
      <w:r>
        <w:t>provides multi-site and multi-year evidence under realistic subtropical</w:t>
      </w:r>
      <w:r>
        <w:t xml:space="preserve"> </w:t>
      </w:r>
      <w:r>
        <w:t>production conditions, while additional observations across more</w:t>
      </w:r>
      <w:r>
        <w:t xml:space="preserve"> </w:t>
      </w:r>
      <w:r>
        <w:t>regions, cultivars and management systems would further broaden the</w:t>
      </w:r>
      <w:r>
        <w:t xml:space="preserve"> </w:t>
      </w:r>
      <w:r>
        <w:t>calibration domain. The 2022 Guilin season, for example, provided a</w:t>
      </w:r>
      <w:r>
        <w:t xml:space="preserve"> </w:t>
      </w:r>
      <w:r>
        <w:t>useful contrast because unusually low early-season humidity and</w:t>
      </w:r>
      <w:r>
        <w:t xml:space="preserve"> </w:t>
      </w:r>
      <w:r>
        <w:t>irregular rainfall (</w:t>
      </w:r>
      <w:hyperlink w:anchor="X1efb8c6a309e42b8504d22d6db41495b189c98c" w:history="1">
        <w:r>
          <w:rPr>
            <w:rStyle w:val="Hyperlink"/>
          </w:rPr>
          <w:t>Fig 3</w:t>
        </w:r>
      </w:hyperlink>
      <w:r>
        <w:t>) may have delayed</w:t>
      </w:r>
      <w:r>
        <w:t xml:space="preserve"> </w:t>
      </w:r>
      <w:r>
        <w:t>or suppressed infection establishment. Such contrasting cases are</w:t>
      </w:r>
      <w:r>
        <w:t xml:space="preserve"> </w:t>
      </w:r>
      <w:r>
        <w:t>valuable for testing model behaviour, but wider datasets would support</w:t>
      </w:r>
      <w:r>
        <w:t xml:space="preserve"> </w:t>
      </w:r>
      <w:r>
        <w:t>more explicit cultivar- or region-specific parameterization (</w:t>
      </w:r>
      <w:hyperlink w:anchor="ref_bellin_2009_3" w:history="1">
        <w:r>
          <w:rPr>
            <w:rStyle w:val="Hyperlink"/>
          </w:rPr>
          <w:t>Bellin et al., 2009</w:t>
        </w:r>
      </w:hyperlink>
      <w:r>
        <w:t xml:space="preserve">; </w:t>
      </w:r>
      <w:hyperlink w:anchor="ref_gessler_2011_15" w:history="1">
        <w:r>
          <w:rPr>
            <w:rStyle w:val="Hyperlink"/>
          </w:rPr>
          <w:t>Gessler et al., 2011</w:t>
        </w:r>
      </w:hyperlink>
      <w:r>
        <w:t xml:space="preserve">; </w:t>
      </w:r>
      <w:hyperlink w:anchor="ref_koledenkova_2022_29" w:history="1">
        <w:r>
          <w:rPr>
            <w:rStyle w:val="Hyperlink"/>
          </w:rPr>
          <w:t>Koledenkova et al., 2022</w:t>
        </w:r>
      </w:hyperlink>
      <w:r>
        <w:t>).</w:t>
      </w:r>
    </w:p>
    <w:p>
      <w:pPr>
        <w:pStyle w:val="Normal"/>
        <w:spacing w:line="480" w:lineRule="auto"/>
      </w:pPr>
      <w:r>
        <w:t xml:space="preserve">Second, FSIM-S currently uses a deterministic mechanistic structure to</w:t>
      </w:r>
      <w:r>
        <w:t xml:space="preserve"> </w:t>
      </w:r>
      <w:r>
        <w:t xml:space="preserve">describe the coupling between meteorological conditions and</w:t>
      </w:r>
      <w:r>
        <w:t xml:space="preserve"> </w:t>
      </w:r>
      <w:r>
        <w:t xml:space="preserve">spore-pressure dynamics. This formulation favours stability,</w:t>
      </w:r>
      <w:r>
        <w:t xml:space="preserve"> </w:t>
      </w:r>
      <w:r>
        <w:t xml:space="preserve">interpretability and transparent biological assumptions at the regional</w:t>
      </w:r>
      <w:r>
        <w:t xml:space="preserve"> </w:t>
      </w:r>
      <w:r>
        <w:t xml:space="preserve">scale. Future probabilistic extensions could complement this structure</w:t>
      </w:r>
      <w:r>
        <w:t xml:space="preserve"> </w:t>
      </w:r>
      <w:r>
        <w:t xml:space="preserve">by quantifying uncertainty associated with rainfall variability, spore</w:t>
      </w:r>
      <w:r>
        <w:t xml:space="preserve"> </w:t>
      </w:r>
      <w:r>
        <w:t xml:space="preserve">sampling error and fine-scale atmospheric heterogeneity, particularly</w:t>
      </w:r>
      <w:r>
        <w:t xml:space="preserve"> </w:t>
      </w:r>
      <w:r>
        <w:t xml:space="preserve">when the model is applied to operational warning systems or climate</w:t>
      </w:r>
      <w:r>
        <w:t xml:space="preserve"> </w:t>
      </w:r>
      <w:r>
        <w:t xml:space="preserve">scenario analysis.</w:t>
      </w:r>
    </w:p>
    <w:p>
      <w:pPr>
        <w:pStyle w:val="Normal"/>
        <w:spacing w:line="480" w:lineRule="auto"/>
      </w:pPr>
      <w:r>
        <w:t>Finally, the regional analysis was designed as a scenario-based</w:t>
      </w:r>
      <w:r>
        <w:t xml:space="preserve"> </w:t>
      </w:r>
      <w:r>
        <w:t>assessment rather than a vineyard-by-vineyard operational map. It</w:t>
      </w:r>
      <w:r>
        <w:t xml:space="preserve"> </w:t>
      </w:r>
      <w:r>
        <w:t>therefore used simplified assumptions about vineyard distribution,</w:t>
      </w:r>
      <w:r>
        <w:t xml:space="preserve"> </w:t>
      </w:r>
      <w:r>
        <w:t>canopy structure and cultivar allocation. These assumptions are</w:t>
      </w:r>
      <w:r>
        <w:t xml:space="preserve"> </w:t>
      </w:r>
      <w:r>
        <w:t>appropriate for evaluating broad regional patterns and management</w:t>
      </w:r>
      <w:r>
        <w:t xml:space="preserve"> </w:t>
      </w:r>
      <w:r>
        <w:t>windows, but finer-scale implementation would benefit from vineyard</w:t>
      </w:r>
      <w:r>
        <w:t xml:space="preserve"> </w:t>
      </w:r>
      <w:r>
        <w:t>land-use layers, cultivar distribution data, remote-sensing information</w:t>
      </w:r>
      <w:r>
        <w:t xml:space="preserve"> </w:t>
      </w:r>
      <w:r>
        <w:t>and canopy microclimate observations (</w:t>
      </w:r>
      <w:hyperlink w:anchor="ref_tesic_2007_51" w:history="1">
        <w:r>
          <w:rPr>
            <w:rStyle w:val="Hyperlink"/>
          </w:rPr>
          <w:t>Tesic et al., 2007</w:t>
        </w:r>
      </w:hyperlink>
      <w:r>
        <w:t xml:space="preserve">; </w:t>
      </w:r>
      <w:hyperlink w:anchor="ref_perria_2022_39" w:history="1">
        <w:r>
          <w:rPr>
            <w:rStyle w:val="Hyperlink"/>
          </w:rPr>
          <w:t>Perria et al., 2022</w:t>
        </w:r>
      </w:hyperlink>
      <w:r>
        <w:t>). Such additions would extend the framework from regional risk</w:t>
      </w:r>
      <w:r>
        <w:t xml:space="preserve"> </w:t>
      </w:r>
      <w:r>
        <w:t>assessment toward more spatially resolved disease-management support.</w:t>
      </w:r>
    </w:p>
    <w:bookmarkEnd w:id="98"/>
    <w:bookmarkEnd w:id="99"/>
    <w:bookmarkStart w:id="100" w:name="conclusion"/>
    <w:p>
      <w:pPr>
        <w:pStyle w:val="Heading1"/>
      </w:pPr>
      <w:r>
        <w:t xml:space="preserve">Conclusion</w:t>
      </w:r>
    </w:p>
    <w:p>
      <w:pPr>
        <w:pStyle w:val="FirstParagraph"/>
        <w:spacing w:line="480" w:lineRule="auto"/>
      </w:pPr>
      <w:r>
        <w:t xml:space="preserve">This study developed FSIM-S, a spore-informed and process-based</w:t>
      </w:r>
      <w:r>
        <w:t xml:space="preserve"> </w:t>
      </w:r>
      <w:r>
        <w:t xml:space="preserve">agroclimatic modelling framework for timing grapevine downy mildew</w:t>
      </w:r>
      <w:r>
        <w:t xml:space="preserve"> </w:t>
      </w:r>
      <w:r>
        <w:t xml:space="preserve">management under subtropical conditions. By incorporating</w:t>
      </w:r>
      <w:r>
        <w:t xml:space="preserve"> </w:t>
      </w:r>
      <w:r>
        <w:t xml:space="preserve">field-observed sporangia data through a dynamic spore-pressure field,</w:t>
      </w:r>
      <w:r>
        <w:t xml:space="preserve"> </w:t>
      </w:r>
      <w:r>
        <w:t xml:space="preserve">the model links inoculum dynamics, dispersal processes and</w:t>
      </w:r>
      <w:r>
        <w:t xml:space="preserve"> </w:t>
      </w:r>
      <w:r>
        <w:t xml:space="preserve">meteorological drivers within a field-tested decision-support framework.</w:t>
      </w:r>
      <w:r>
        <w:t xml:space="preserve"> </w:t>
      </w:r>
      <w:r>
        <w:t xml:space="preserve">Multi-year and multi-site validation demonstrated that FSIM-S reproduced</w:t>
      </w:r>
      <w:r>
        <w:t xml:space="preserve"> </w:t>
      </w:r>
      <w:r>
        <w:t xml:space="preserve">first seasonal infection timing with a mean absolute error of 6.3 days</w:t>
      </w:r>
      <w:r>
        <w:t xml:space="preserve"> </w:t>
      </w:r>
      <w:r>
        <w:t xml:space="preserve">and a root mean square error of 6.5 days. Long-term regional simulations</w:t>
      </w:r>
      <w:r>
        <w:t xml:space="preserve"> </w:t>
      </w:r>
      <w:r>
        <w:t xml:space="preserve">(2000–2024) captured realistic spatial patterns of infection onset and</w:t>
      </w:r>
      <w:r>
        <w:t xml:space="preserve"> </w:t>
      </w:r>
      <w:r>
        <w:t xml:space="preserve">indicated that model-guided timing could avoid 2–5 early preventive</w:t>
      </w:r>
      <w:r>
        <w:t xml:space="preserve"> </w:t>
      </w:r>
      <w:r>
        <w:t xml:space="preserve">sprays per season compared with a conventional calendar-based programme.</w:t>
      </w:r>
      <w:r>
        <w:t xml:space="preserve"> </w:t>
      </w:r>
      <w:r>
        <w:t xml:space="preserve">Overall, FSIM-S provides a</w:t>
      </w:r>
      <w:r>
        <w:t xml:space="preserve"> </w:t>
      </w:r>
      <w:r>
        <w:t xml:space="preserve">data-integrated basis for climate-smart, model-guided disease management</w:t>
      </w:r>
      <w:r>
        <w:t xml:space="preserve"> </w:t>
      </w:r>
      <w:r>
        <w:t xml:space="preserve">and more sustainable fungicide use in subtropical viticulture.</w:t>
      </w:r>
    </w:p>
    <w:bookmarkEnd w:id="100"/>
    <w:bookmarkStart w:id="101" w:name="credit-authorship-contribution-statement"/>
    <w:p>
      <w:pPr>
        <w:pStyle w:val="UnnumberedHeading"/>
      </w:pPr>
      <w:r>
        <w:t xml:space="preserve">CRediT authorship contribution</w:t>
      </w:r>
      <w:r>
        <w:t xml:space="preserve"> </w:t>
      </w:r>
      <w:r>
        <w:t xml:space="preserve">statement</w:t>
      </w:r>
    </w:p>
    <w:p>
      <w:pPr>
        <w:pStyle w:val="FirstParagraph"/>
        <w:spacing w:line="480" w:lineRule="auto"/>
      </w:pPr>
      <w:r>
        <w:t xml:space="preserve">Linjia Yao: Investigation, Writing – original draft, Visualization,</w:t>
      </w:r>
      <w:r>
        <w:t xml:space="preserve"> </w:t>
      </w:r>
      <w:r>
        <w:t xml:space="preserve">Software, Methodology, Formal analysis, Conceptualization. Bin Chen:</w:t>
      </w:r>
      <w:r>
        <w:t xml:space="preserve"> </w:t>
      </w:r>
      <w:r>
        <w:t xml:space="preserve">Investigation, Writing – original draft, Formal analysis. Writing</w:t>
      </w:r>
      <w:r>
        <w:t xml:space="preserve"> </w:t>
      </w:r>
      <w:r>
        <w:t xml:space="preserve">-review &amp; editing. Vittorio Rossi: Formal analysis, Writing -review &amp;</w:t>
      </w:r>
      <w:r>
        <w:t xml:space="preserve"> </w:t>
      </w:r>
      <w:r>
        <w:t xml:space="preserve">editing. Ling Yin: Funding acquisition, Writing -review &amp; editing.</w:t>
      </w:r>
      <w:r>
        <w:t xml:space="preserve"> </w:t>
      </w:r>
      <w:r>
        <w:t xml:space="preserve">Shumei Wei: Investigation. Qi Tian: Investigation. Changqing Yan:</w:t>
      </w:r>
      <w:r>
        <w:t xml:space="preserve"> </w:t>
      </w:r>
      <w:r>
        <w:t xml:space="preserve">Writing -review &amp; editing. Hui Wang: Writing -review &amp; editing.</w:t>
      </w:r>
      <w:r>
        <w:t xml:space="preserve"> </w:t>
      </w:r>
      <w:r>
        <w:t xml:space="preserve">Antonio Fernandes Nogueira Júnior: Writing -review &amp; editing. Yu Huang:</w:t>
      </w:r>
      <w:r>
        <w:t xml:space="preserve"> </w:t>
      </w:r>
      <w:r>
        <w:t xml:space="preserve">Investigation. Qiang Yu: Conceptualization, Supervision. Junjie Qu:</w:t>
      </w:r>
      <w:r>
        <w:t xml:space="preserve"> </w:t>
      </w:r>
      <w:r>
        <w:t xml:space="preserve">Funding acquisition. Gang Zhao: Software, Methodology,</w:t>
      </w:r>
      <w:r>
        <w:t xml:space="preserve"> </w:t>
      </w:r>
      <w:r>
        <w:t xml:space="preserve">Conceptualization, Supervision.</w:t>
      </w:r>
    </w:p>
    <w:bookmarkEnd w:id="101"/>
    <w:bookmarkStart w:id="102" w:name="declaration-of-competing-interest"/>
    <w:p>
      <w:pPr>
        <w:pStyle w:val="UnnumberedHeading"/>
        <w:jc w:val="left"/>
        <w:ind w:left="0" w:hanging="0"/>
      </w:pPr>
      <w:r>
        <w:t xml:space="preserve">Declaration of competing</w:t>
      </w:r>
      <w:r>
        <w:t xml:space="preserve"> </w:t>
      </w:r>
      <w:r>
        <w:t xml:space="preserve">interest</w:t>
      </w:r>
    </w:p>
    <w:p>
      <w:pPr>
        <w:pStyle w:val="FirstParagraph"/>
        <w:spacing w:line="480" w:lineRule="auto"/>
      </w:pPr>
      <w:r>
        <w:t xml:space="preserve">The authors declare that they have no known competing financial</w:t>
      </w:r>
      <w:r>
        <w:t xml:space="preserve"> </w:t>
      </w:r>
      <w:r>
        <w:t xml:space="preserve">interests or personal relationships that could have appeared to</w:t>
      </w:r>
      <w:r>
        <w:t xml:space="preserve"> </w:t>
      </w:r>
      <w:r>
        <w:t xml:space="preserve">influence the work reported in this paper.</w:t>
      </w:r>
    </w:p>
    <w:bookmarkEnd w:id="102"/>
    <w:bookmarkStart w:id="103" w:name="acknowledgements"/>
    <w:p>
      <w:pPr>
        <w:pStyle w:val="UnnumberedHeading"/>
        <w:jc w:val="left"/>
        <w:ind w:left="0" w:hanging="0"/>
      </w:pPr>
      <w:r>
        <w:t xml:space="preserve">Acknowledgements</w:t>
      </w:r>
    </w:p>
    <w:p>
      <w:pPr>
        <w:pStyle w:val="FirstParagraph"/>
        <w:spacing w:line="480" w:lineRule="auto"/>
      </w:pPr>
      <w:r>
        <w:t xml:space="preserve">This work was funded by Guangxi Key R&amp;D Program Project (Grant No. Gui</w:t>
      </w:r>
      <w:r>
        <w:t xml:space="preserve"> </w:t>
      </w:r>
      <w:r>
        <w:t xml:space="preserve">Ke AB24010121, AB21076001) and the Key Research and Development Program</w:t>
      </w:r>
      <w:r>
        <w:t xml:space="preserve"> </w:t>
      </w:r>
      <w:r>
        <w:t xml:space="preserve">of Shaanxi (Grant No. 2023-ZDLNY-64). We gratefully acknowledge Mr. Yunlong Chen and Mr.</w:t>
      </w:r>
      <w:r>
        <w:t xml:space="preserve"> </w:t>
      </w:r>
      <w:r>
        <w:t xml:space="preserve">Yaokang Liang, local growers in Guilin and Hechi, for their valuable</w:t>
      </w:r>
      <w:r>
        <w:t xml:space="preserve"> </w:t>
      </w:r>
      <w:r>
        <w:t xml:space="preserve">assistance in fieldwork.</w:t>
      </w:r>
    </w:p>
    <w:bookmarkEnd w:id="103"/>
    <w:bookmarkStart w:id="105" w:name="data-availability"/>
    <w:p>
      <w:pPr>
        <w:pStyle w:val="UnnumberedHeading"/>
      </w:pPr>
      <w:r>
        <w:t xml:space="preserve">Data Availability</w:t>
      </w:r>
    </w:p>
    <w:p>
      <w:pPr>
        <w:pStyle w:val="FirstParagraph"/>
        <w:spacing w:line="480" w:lineRule="auto"/>
      </w:pPr>
      <w:r>
        <w:t xml:space="preserve">The model structure, code, and data supporting the findings of this</w:t>
      </w:r>
      <w:r>
        <w:t xml:space="preserve"> </w:t>
      </w:r>
      <w:r>
        <w:t xml:space="preserve">study are publicly available at:</w:t>
      </w:r>
      <w:r>
        <w:t xml:space="preserve"> </w:t>
      </w:r>
      <w:hyperlink r:id="rId104">
        <w:r>
          <w:rPr>
            <w:rStyle w:val="Hyperlink"/>
          </w:rPr>
          <w:t xml:space="preserve">https://github.com/SmartAG-Team/grape_disease.git</w:t>
        </w:r>
      </w:hyperlink>
      <w:r>
        <w:t xml:space="preserve">. The repository</w:t>
      </w:r>
      <w:r>
        <w:t xml:space="preserve"> </w:t>
      </w:r>
      <w:r>
        <w:t xml:space="preserve">includes (i) field observations of first seasonal infection (symptom</w:t>
      </w:r>
      <w:r>
        <w:t xml:space="preserve"> </w:t>
      </w:r>
      <w:r>
        <w:t xml:space="preserve">onset), (ii) airborne sporangia monitoring data, (iii) site–year</w:t>
      </w:r>
      <w:r>
        <w:t xml:space="preserve"> </w:t>
      </w:r>
      <w:r>
        <w:t xml:space="preserve">meteorological data used for model calibration and validation, and (iv)</w:t>
      </w:r>
      <w:r>
        <w:t xml:space="preserve"> </w:t>
      </w:r>
      <w:r>
        <w:t xml:space="preserve">code for model implementation, calibration, and figure generation.</w:t>
      </w:r>
      <w:r>
        <w:t xml:space="preserve"> </w:t>
      </w:r>
      <w:r>
        <w:t xml:space="preserve">Additional materials may be available from the corresponding author upon</w:t>
      </w:r>
      <w:r>
        <w:t xml:space="preserve"> </w:t>
      </w:r>
      <w:r>
        <w:t xml:space="preserve">reasonable request (</w:t>
      </w:r>
      <w:r>
        <w:rPr>
          <w:u w:val="single"/>
        </w:rPr>
        <w:t xml:space="preserve">gang.zhao@nwafu.edu.cn (Gang Zhao)</w:t>
      </w:r>
      <w:r>
        <w:t xml:space="preserve">).</w:t>
      </w:r>
    </w:p>
    <w:bookmarkEnd w:id="105"/>
    <w:bookmarkStart w:id="109" w:name="references"/>
    <w:p>
      <w:pPr>
        <w:pStyle w:val="References"/>
        <w:jc w:val="left"/>
        <w:ind w:left="0" w:hanging="0"/>
      </w:pPr>
      <w:r>
        <w:t xml:space="preserve">References</w:t>
      </w:r>
    </w:p>
    <w:p>
      <w:pPr>
        <w:pStyle w:val="Bibliography"/>
        <w:spacing w:line="240" w:lineRule="auto" w:before="0" w:after="0"/>
        <w:jc w:val="left"/>
        <w:ind w:left="360" w:hanging="360"/>
      </w:pPr>
      <w:bookmarkStart w:id="110" w:name="ref_baldacci_1947_1"/>
      <w:r>
        <w:t xml:space="preserve">Baldacci, E., 1947. Epifitie di Plasmopara viticola (1941-46)</w:t>
      </w:r>
      <w:r>
        <w:t xml:space="preserve"> </w:t>
      </w:r>
      <w:r>
        <w:t xml:space="preserve">nell’oltrepò pavese ed adizione del calendario di incubazione come</w:t>
      </w:r>
      <w:r>
        <w:t xml:space="preserve"> </w:t>
      </w:r>
      <w:r>
        <w:t xml:space="preserve">strumento di lotta.</w:t>
      </w:r>
      <w:bookmarkEnd w:id="110"/>
    </w:p>
    <w:p>
      <w:pPr>
        <w:pStyle w:val="Bibliography"/>
        <w:spacing w:line="240" w:lineRule="auto" w:before="0" w:after="0"/>
        <w:jc w:val="left"/>
        <w:ind w:left="360" w:hanging="360"/>
      </w:pPr>
      <w:bookmarkStart w:id="111" w:name="ref_barrett_1939_2"/>
      <w:r>
        <w:t xml:space="preserve">Barrett, J., 1939. Overwintering mycelium of Plasmopara viticola (B. &amp;</w:t>
      </w:r>
      <w:r>
        <w:t xml:space="preserve"> </w:t>
      </w:r>
      <w:r>
        <w:t xml:space="preserve">C.) Berl. &amp; de T. in the California wild grape, Vitis californica</w:t>
      </w:r>
      <w:r>
        <w:t xml:space="preserve"> </w:t>
      </w:r>
      <w:r>
        <w:t xml:space="preserve">Benth.</w:t>
      </w:r>
      <w:bookmarkEnd w:id="111"/>
    </w:p>
    <w:p>
      <w:pPr>
        <w:pStyle w:val="Bibliography"/>
        <w:spacing w:line="240" w:lineRule="auto" w:before="0" w:after="0"/>
        <w:jc w:val="left"/>
        <w:ind w:left="360" w:hanging="360"/>
      </w:pPr>
      <w:bookmarkStart w:id="112" w:name="ref_bellin_2009_3"/>
      <w:r>
        <w:t xml:space="preserve">Bellin, D., Peressotti, E., Merdinoglu, D., Wiedemann-Merdinoglu, S.,</w:t>
      </w:r>
      <w:r>
        <w:t xml:space="preserve"> </w:t>
      </w:r>
      <w:r>
        <w:t xml:space="preserve">Adam-Blondon, A.-F., Cipriani, G., Morgante, M., Testolin, R., Di</w:t>
      </w:r>
      <w:r>
        <w:t xml:space="preserve"> </w:t>
      </w:r>
      <w:r>
        <w:t xml:space="preserve">Gaspero, G., 2009. Resistance to Plasmopara viticola in grapevine</w:t>
      </w:r>
      <w:r>
        <w:t xml:space="preserve"> </w:t>
      </w:r>
      <w:r>
        <w:t xml:space="preserve">‘bianca’</w:t>
      </w:r>
      <w:r>
        <w:t xml:space="preserve"> </w:t>
      </w:r>
      <w:r>
        <w:t xml:space="preserve">is controlled by a major dominant gene causing localised</w:t>
      </w:r>
      <w:r>
        <w:t xml:space="preserve"> </w:t>
      </w:r>
      <w:r>
        <w:t xml:space="preserve">necrosis at the infection site. Theor. Appl. Genet. 120, 163–176.</w:t>
      </w:r>
      <w:r>
        <w:t xml:space="preserve"> </w:t>
      </w:r>
      <w:r>
        <w:t xml:space="preserve">https://doi.org/10.1007/s00122-009-1167-2</w:t>
      </w:r>
      <w:bookmarkEnd w:id="112"/>
    </w:p>
    <w:p>
      <w:pPr>
        <w:pStyle w:val="Bibliography"/>
        <w:spacing w:line="240" w:lineRule="auto" w:before="0" w:after="0"/>
        <w:jc w:val="left"/>
        <w:ind w:left="360" w:hanging="360"/>
      </w:pPr>
      <w:bookmarkStart w:id="113" w:name="ref_bergstra_2011_4"/>
      <w:r>
        <w:t xml:space="preserve">Bergstra, J., Bardenet, R., Bengio, Y., Kégl, B., 2011. Algorithms for</w:t>
      </w:r>
      <w:r>
        <w:t xml:space="preserve"> </w:t>
      </w:r>
      <w:r>
        <w:t xml:space="preserve">hyper-parameter optimization, in: Advances in Neural Information</w:t>
      </w:r>
      <w:r>
        <w:t xml:space="preserve"> </w:t>
      </w:r>
      <w:r>
        <w:t xml:space="preserve">Processing Systems 24. Curran Associates, Inc.</w:t>
      </w:r>
      <w:bookmarkEnd w:id="113"/>
    </w:p>
    <w:p>
      <w:pPr>
        <w:pStyle w:val="Bibliography"/>
        <w:spacing w:line="240" w:lineRule="auto" w:before="0" w:after="0"/>
        <w:jc w:val="left"/>
        <w:ind w:left="360" w:hanging="360"/>
      </w:pPr>
      <w:bookmarkStart w:id="114" w:name="ref_brischetto_2021_5"/>
      <w:r>
        <w:t xml:space="preserve">Brischetto, C., Bove, F., Fedele, G., Rossi, V., 2021. A weather-driven</w:t>
      </w:r>
      <w:r>
        <w:t xml:space="preserve"> </w:t>
      </w:r>
      <w:r>
        <w:t xml:space="preserve">model for predicting infections of grapevines by sporangia of Plasmopara</w:t>
      </w:r>
      <w:r>
        <w:t xml:space="preserve"> </w:t>
      </w:r>
      <w:r>
        <w:t xml:space="preserve">viticola. Front. Plant Sci. 12, 636607.</w:t>
      </w:r>
      <w:r>
        <w:t xml:space="preserve"> </w:t>
      </w:r>
      <w:r>
        <w:t xml:space="preserve">https://doi.org/10.3389/fpls.2021.636607</w:t>
      </w:r>
      <w:bookmarkEnd w:id="114"/>
    </w:p>
    <w:p>
      <w:pPr>
        <w:pStyle w:val="Bibliography"/>
        <w:spacing w:line="240" w:lineRule="auto" w:before="0" w:after="0"/>
        <w:jc w:val="left"/>
        <w:ind w:left="360" w:hanging="360"/>
      </w:pPr>
      <w:bookmarkStart w:id="115" w:name="ref_caffi_2010_6"/>
      <w:r>
        <w:t xml:space="preserve">Caffi, T., Rossi, V., Bugiani, R., 2010. Evaluation of a warning system</w:t>
      </w:r>
      <w:r>
        <w:t xml:space="preserve"> </w:t>
      </w:r>
      <w:r>
        <w:t xml:space="preserve">for controlling primary infections of grapevine downy mildew. Plant Dis.</w:t>
      </w:r>
      <w:r>
        <w:t xml:space="preserve"> </w:t>
      </w:r>
      <w:r>
        <w:t xml:space="preserve">94, 709–716. https://doi.org/10.1094/PDIS-94-6-0709</w:t>
      </w:r>
      <w:bookmarkEnd w:id="115"/>
    </w:p>
    <w:p>
      <w:pPr>
        <w:pStyle w:val="Bibliography"/>
        <w:spacing w:line="240" w:lineRule="auto" w:before="0" w:after="0"/>
        <w:jc w:val="left"/>
        <w:ind w:left="360" w:hanging="360"/>
      </w:pPr>
      <w:bookmarkStart w:id="116" w:name="ref_caffi_2007_7"/>
      <w:r>
        <w:t xml:space="preserve">Caffi, T., Rossi, V., Cossu, A., Fronteddu, F., 2007. Empirical vs.</w:t>
      </w:r>
      <w:r>
        <w:t xml:space="preserve"> </w:t>
      </w:r>
      <w:r>
        <w:t xml:space="preserve">mechanistic models for primary infections of</w:t>
      </w:r>
      <w:r>
        <w:t xml:space="preserve"> </w:t>
      </w:r>
      <w:r>
        <w:rPr>
          <w:i/>
          <w:iCs/>
        </w:rPr>
        <w:t xml:space="preserve">Plasmopara viticola</w:t>
      </w:r>
      <w:r>
        <w:t xml:space="preserve"> </w:t>
      </w:r>
      <w:r>
        <w:t xml:space="preserve">*. EPPO Bull. 37, 261–271.</w:t>
      </w:r>
      <w:r>
        <w:t xml:space="preserve"> </w:t>
      </w:r>
      <w:r>
        <w:t xml:space="preserve">https://doi.org/10.1111/j.1365-2338.2007.01120.x</w:t>
      </w:r>
      <w:bookmarkEnd w:id="116"/>
    </w:p>
    <w:p>
      <w:pPr>
        <w:pStyle w:val="Bibliography"/>
        <w:spacing w:line="240" w:lineRule="auto" w:before="0" w:after="0"/>
        <w:jc w:val="left"/>
        <w:ind w:left="360" w:hanging="360"/>
      </w:pPr>
      <w:bookmarkStart w:id="117" w:name="ref_carisse_2016_8"/>
      <w:r>
        <w:t xml:space="preserve">Carisse, O., 2016. Development of grape downy mildew (plasmopara</w:t>
      </w:r>
      <w:r>
        <w:t xml:space="preserve"> </w:t>
      </w:r>
      <w:r>
        <w:t xml:space="preserve">viticola) under northern viticulture conditions: Influence of fall</w:t>
      </w:r>
      <w:r>
        <w:t xml:space="preserve"> </w:t>
      </w:r>
      <w:r>
        <w:t xml:space="preserve">disease incidence. Eur. J. Plant Pathol. 144, 773–783.</w:t>
      </w:r>
      <w:r>
        <w:t xml:space="preserve"> </w:t>
      </w:r>
      <w:r>
        <w:t xml:space="preserve">https://doi.org/10.1007/s10658-015-0748-y</w:t>
      </w:r>
      <w:bookmarkEnd w:id="117"/>
    </w:p>
    <w:p>
      <w:pPr>
        <w:pStyle w:val="Bibliography"/>
        <w:spacing w:line="240" w:lineRule="auto" w:before="0" w:after="0"/>
        <w:jc w:val="left"/>
        <w:ind w:left="360" w:hanging="360"/>
      </w:pPr>
      <w:bookmarkStart w:id="118" w:name="ref_carisse_2021_9"/>
      <w:r>
        <w:t xml:space="preserve">Carisse, O., Van Der Heyden, H., Tremblay, D.M., Hébert, P.O., Delmotte,</w:t>
      </w:r>
      <w:r>
        <w:t xml:space="preserve"> </w:t>
      </w:r>
      <w:r>
        <w:t xml:space="preserve">F., 2021. Evidence for differences in the temporal progress of</w:t>
      </w:r>
      <w:r>
        <w:t xml:space="preserve"> </w:t>
      </w:r>
      <w:r>
        <w:rPr>
          <w:i/>
          <w:iCs/>
        </w:rPr>
        <w:t xml:space="preserve">Plasmopara viticola</w:t>
      </w:r>
      <w:r>
        <w:t xml:space="preserve"> </w:t>
      </w:r>
      <w:r>
        <w:t xml:space="preserve">Clades</w:t>
      </w:r>
      <w:r>
        <w:t xml:space="preserve"> </w:t>
      </w:r>
      <w:r>
        <w:rPr>
          <w:i/>
          <w:iCs/>
        </w:rPr>
        <w:t xml:space="preserve">riparia</w:t>
      </w:r>
      <w:r>
        <w:t xml:space="preserve"> </w:t>
      </w:r>
      <w:r>
        <w:t xml:space="preserve">and</w:t>
      </w:r>
      <w:r>
        <w:t xml:space="preserve"> </w:t>
      </w:r>
      <w:r>
        <w:rPr>
          <w:i/>
          <w:iCs/>
        </w:rPr>
        <w:t xml:space="preserve">aestivalis</w:t>
      </w:r>
      <w:r>
        <w:t xml:space="preserve"> </w:t>
      </w:r>
      <w:r>
        <w:t xml:space="preserve">airborne inoculum monitored in vineyards in eastern Canada using a</w:t>
      </w:r>
      <w:r>
        <w:t xml:space="preserve"> </w:t>
      </w:r>
      <w:r>
        <w:t xml:space="preserve">specific multiplex quantitative PCR assay. Plant Dis. 105, 1666–1676.</w:t>
      </w:r>
      <w:r>
        <w:t xml:space="preserve"> </w:t>
      </w:r>
      <w:r>
        <w:t xml:space="preserve">https://doi.org/10.1094/PDIS-06-20-1164-RE</w:t>
      </w:r>
      <w:bookmarkEnd w:id="118"/>
    </w:p>
    <w:p>
      <w:pPr>
        <w:pStyle w:val="Bibliography"/>
        <w:spacing w:line="240" w:lineRule="auto" w:before="0" w:after="0"/>
        <w:jc w:val="left"/>
        <w:ind w:left="360" w:hanging="360"/>
      </w:pPr>
      <w:bookmarkStart w:id="119" w:name="ref_chavas_2020_10"/>
      <w:r>
        <w:t xml:space="preserve">Chavas, J., Nauges, C., 2020. Uncertainty, Learning, and Technology</w:t>
      </w:r>
      <w:r>
        <w:t xml:space="preserve"> </w:t>
      </w:r>
      <w:r>
        <w:t xml:space="preserve">Adoption in Agriculture. Appl. Econ. Perspect. Policy 42, 42–53.</w:t>
      </w:r>
      <w:r>
        <w:t xml:space="preserve"> </w:t>
      </w:r>
      <w:r>
        <w:t xml:space="preserve">https://doi.org/10.1002/aepp.13003</w:t>
      </w:r>
      <w:bookmarkEnd w:id="119"/>
    </w:p>
    <w:p>
      <w:pPr>
        <w:pStyle w:val="Bibliography"/>
        <w:spacing w:line="240" w:lineRule="auto" w:before="0" w:after="0"/>
        <w:jc w:val="left"/>
        <w:ind w:left="360" w:hanging="360"/>
      </w:pPr>
      <w:bookmarkStart w:id="120" w:name="ref_chen_2019_11"/>
      <w:r>
        <w:t xml:space="preserve">Chen, M., Brun, F., Raynal, M., Makowski, D., 2019. Timing of grape</w:t>
      </w:r>
      <w:r>
        <w:t xml:space="preserve"> </w:t>
      </w:r>
      <w:r>
        <w:t xml:space="preserve">downy mildew onset in Bordeaux vineyards. Phytopathology 109, 787–795.</w:t>
      </w:r>
      <w:r>
        <w:t xml:space="preserve"> </w:t>
      </w:r>
      <w:r>
        <w:t xml:space="preserve">https://doi.org/10.1094/PHYTO-12-17-0412-R</w:t>
      </w:r>
      <w:bookmarkEnd w:id="120"/>
    </w:p>
    <w:p>
      <w:pPr>
        <w:pStyle w:val="Bibliography"/>
        <w:spacing w:line="240" w:lineRule="auto" w:before="0" w:after="0"/>
        <w:jc w:val="left"/>
        <w:ind w:left="360" w:hanging="360"/>
      </w:pPr>
      <w:bookmarkStart w:id="121" w:name="ref_chen_2020_12"/>
      <w:r>
        <w:t xml:space="preserve">Chen, M., Brun, F., Raynal, M., Makowski, D., 2020. Forecasting severe</w:t>
      </w:r>
      <w:r>
        <w:t xml:space="preserve"> </w:t>
      </w:r>
      <w:r>
        <w:t xml:space="preserve">grape downy mildew attacks using machine learning. PLOS ONE 15,</w:t>
      </w:r>
      <w:r>
        <w:t xml:space="preserve"> </w:t>
      </w:r>
      <w:r>
        <w:t xml:space="preserve">e0230254. https://doi.org/10.1371/journal.pone.0230254</w:t>
      </w:r>
      <w:bookmarkEnd w:id="121"/>
    </w:p>
    <w:p>
      <w:pPr>
        <w:pStyle w:val="Bibliography"/>
        <w:spacing w:line="240" w:lineRule="auto" w:before="0" w:after="0"/>
        <w:jc w:val="left"/>
        <w:ind w:left="360" w:hanging="360"/>
      </w:pPr>
      <w:bookmarkStart w:id="122" w:name="ref_cheng_2022_13"/>
      <w:r>
        <w:t xml:space="preserve">Cheng, X., Sun, S., Liu, Z., Yang, X., 2022. Drought analysis during the</w:t>
      </w:r>
      <w:r>
        <w:t xml:space="preserve"> </w:t>
      </w:r>
      <w:r>
        <w:t xml:space="preserve">growth stages of grape in the main grape-growing regions in China.</w:t>
      </w:r>
      <w:r>
        <w:t xml:space="preserve"> </w:t>
      </w:r>
      <w:r>
        <w:t xml:space="preserve">Theor. Appl. Climatol. 149, 1497–1507.</w:t>
      </w:r>
      <w:r>
        <w:t xml:space="preserve"> </w:t>
      </w:r>
      <w:r>
        <w:t xml:space="preserve">https://doi.org/10.1007/s00704-022-04070-z</w:t>
      </w:r>
      <w:bookmarkEnd w:id="122"/>
    </w:p>
    <w:p>
      <w:pPr>
        <w:pStyle w:val="Bibliography"/>
        <w:spacing w:line="240" w:lineRule="auto" w:before="0" w:after="0"/>
        <w:jc w:val="left"/>
        <w:ind w:left="360" w:hanging="360"/>
      </w:pPr>
      <w:bookmarkStart w:id="123" w:name="ref_garciaesparza_2006_14"/>
      <w:r>
        <w:t xml:space="preserve">García-Esparza, M., Capri, E., Pirzadeh, P., Trevisan, M., 2006. Copper</w:t>
      </w:r>
      <w:r>
        <w:t xml:space="preserve"> </w:t>
      </w:r>
      <w:r>
        <w:t xml:space="preserve">content of grape and wine from Italian farms. Food Addit. Contam. 23,</w:t>
      </w:r>
      <w:r>
        <w:t xml:space="preserve"> </w:t>
      </w:r>
      <w:r>
        <w:t xml:space="preserve">274–280. https://doi.org/10.1080/02652030500429117</w:t>
      </w:r>
      <w:bookmarkEnd w:id="123"/>
    </w:p>
    <w:p>
      <w:pPr>
        <w:pStyle w:val="Bibliography"/>
        <w:spacing w:line="240" w:lineRule="auto" w:before="0" w:after="0"/>
        <w:jc w:val="left"/>
        <w:ind w:left="360" w:hanging="360"/>
      </w:pPr>
      <w:bookmarkStart w:id="124" w:name="ref_gessler_2011_15"/>
      <w:r>
        <w:t xml:space="preserve">Gessler, C., Pertot, I., Perazzolli, M., 2011. Plasmopara viticola: A</w:t>
      </w:r>
      <w:r>
        <w:t xml:space="preserve"> </w:t>
      </w:r>
      <w:r>
        <w:t xml:space="preserve">review of knowledge on downy mildew of grapevine and effective disease</w:t>
      </w:r>
      <w:r>
        <w:t xml:space="preserve"> </w:t>
      </w:r>
      <w:r>
        <w:t xml:space="preserve">management. Phytopathol. Mediterr. 50, 3–44.</w:t>
      </w:r>
      <w:r>
        <w:t xml:space="preserve"> </w:t>
      </w:r>
      <w:r>
        <w:t xml:space="preserve">https://www.jstor.org/stable/26458675</w:t>
      </w:r>
      <w:bookmarkEnd w:id="124"/>
    </w:p>
    <w:p>
      <w:pPr>
        <w:pStyle w:val="Bibliography"/>
        <w:spacing w:line="240" w:lineRule="auto" w:before="0" w:after="0"/>
        <w:jc w:val="left"/>
        <w:ind w:left="360" w:hanging="360"/>
      </w:pPr>
      <w:bookmarkStart w:id="125" w:name="ref_gisi_2008_16"/>
      <w:r>
        <w:t xml:space="preserve">Gisi, U., Sierotzki, H., 2008. Fungicide modes of action and resistance</w:t>
      </w:r>
      <w:r>
        <w:t xml:space="preserve"> </w:t>
      </w:r>
      <w:r>
        <w:t xml:space="preserve">in downy mildews. Eur. J. Plant Pathol. 122, 157–167.</w:t>
      </w:r>
      <w:r>
        <w:t xml:space="preserve"> </w:t>
      </w:r>
      <w:r>
        <w:t xml:space="preserve">https://doi.org/10.1007/s10658-008-9290-5</w:t>
      </w:r>
      <w:bookmarkEnd w:id="125"/>
    </w:p>
    <w:p>
      <w:pPr>
        <w:pStyle w:val="Bibliography"/>
        <w:spacing w:line="240" w:lineRule="auto" w:before="0" w:after="0"/>
        <w:jc w:val="left"/>
        <w:ind w:left="360" w:hanging="360"/>
      </w:pPr>
      <w:bookmarkStart w:id="126" w:name="ref_gobbin_2005_17"/>
      <w:r>
        <w:t xml:space="preserve">Gobbin, D., Jermini, M., Loskill, B., Pertot, I., Raynal, M., Gessler,</w:t>
      </w:r>
      <w:r>
        <w:t xml:space="preserve"> </w:t>
      </w:r>
      <w:r>
        <w:t xml:space="preserve">C., 2005. Importance of secondary inoculum of</w:t>
      </w:r>
      <w:r>
        <w:t xml:space="preserve"> </w:t>
      </w:r>
      <w:r>
        <w:rPr>
          <w:i/>
          <w:iCs/>
        </w:rPr>
        <w:t xml:space="preserve">Plasmopara viticola</w:t>
      </w:r>
      <w:r>
        <w:t xml:space="preserve"> </w:t>
      </w:r>
      <w:r>
        <w:t xml:space="preserve">to epidemics of grapevine downy mildew. Plant Pathol. 54, 522–534.</w:t>
      </w:r>
      <w:r>
        <w:t xml:space="preserve"> </w:t>
      </w:r>
      <w:r>
        <w:t xml:space="preserve">https://doi.org/10.1111/j.1365-3059.2005.01208.x</w:t>
      </w:r>
      <w:bookmarkEnd w:id="126"/>
    </w:p>
    <w:p>
      <w:pPr>
        <w:pStyle w:val="Bibliography"/>
        <w:spacing w:line="240" w:lineRule="auto" w:before="0" w:after="0"/>
        <w:jc w:val="left"/>
        <w:ind w:left="360" w:hanging="360"/>
      </w:pPr>
      <w:bookmarkStart w:id="127" w:name="ref_gobbin_2006_18"/>
      <w:r>
        <w:t xml:space="preserve">Gobbin, D., Rumbou, A., Linde, C.C., Gessler, C., 2006. Population</w:t>
      </w:r>
      <w:r>
        <w:t xml:space="preserve"> </w:t>
      </w:r>
      <w:r>
        <w:t xml:space="preserve">genetic structure of</w:t>
      </w:r>
      <w:r>
        <w:t xml:space="preserve"> </w:t>
      </w:r>
      <w:r>
        <w:rPr>
          <w:i/>
          <w:iCs/>
        </w:rPr>
        <w:t xml:space="preserve">Plasmopara viticola</w:t>
      </w:r>
      <w:r>
        <w:t xml:space="preserve"> </w:t>
      </w:r>
      <w:r>
        <w:t xml:space="preserve">after 125 years of</w:t>
      </w:r>
      <w:r>
        <w:t xml:space="preserve"> </w:t>
      </w:r>
      <w:r>
        <w:t xml:space="preserve">colonization in European vineyards. Mol. Plant Pathol. 7, 519–531.</w:t>
      </w:r>
      <w:r>
        <w:t xml:space="preserve"> </w:t>
      </w:r>
      <w:r>
        <w:t xml:space="preserve">https://doi.org/10.1111/j.1364-3703.2006.00357.x</w:t>
      </w:r>
      <w:bookmarkEnd w:id="127"/>
    </w:p>
    <w:p>
      <w:pPr>
        <w:pStyle w:val="Bibliography"/>
        <w:spacing w:line="240" w:lineRule="auto" w:before="0" w:after="0"/>
        <w:jc w:val="left"/>
        <w:ind w:left="360" w:hanging="360"/>
      </w:pPr>
      <w:bookmarkStart w:id="128" w:name="ref_hersbach_2020_19"/>
      <w:r>
        <w:t xml:space="preserve">Hersbach, H., Bell, B., Berrisford, P., Hirahara, S., Horányi, A.,</w:t>
      </w:r>
      <w:r>
        <w:t xml:space="preserve"> </w:t>
      </w:r>
      <w:r>
        <w:t xml:space="preserve">Muñoz-Sabater, J., Nicolas, J., Peubey, C., Radu, R., Schepers, D.,</w:t>
      </w:r>
      <w:r>
        <w:t xml:space="preserve"> </w:t>
      </w:r>
      <w:r>
        <w:t xml:space="preserve">Simmons, A., Soci, C., Abdalla, S., Abellan, X., Balsamo, G., Bechtold,</w:t>
      </w:r>
      <w:r>
        <w:t xml:space="preserve"> </w:t>
      </w:r>
      <w:r>
        <w:t xml:space="preserve">P., Biavati, G., Bonavita, M., et al., 2020. The ERA5 global reanalysis.</w:t>
      </w:r>
      <w:r>
        <w:t xml:space="preserve"> </w:t>
      </w:r>
      <w:r>
        <w:t xml:space="preserve">Q. J. R. Meteorol. Soc. 146, 1999–2049. https://doi.org/10.1002/qj.3803</w:t>
      </w:r>
      <w:bookmarkEnd w:id="128"/>
    </w:p>
    <w:p>
      <w:pPr>
        <w:pStyle w:val="Bibliography"/>
        <w:spacing w:line="240" w:lineRule="auto" w:before="0" w:after="0"/>
        <w:jc w:val="left"/>
        <w:ind w:left="360" w:hanging="360"/>
      </w:pPr>
      <w:bookmarkStart w:id="129" w:name="ref_hill_1990_20"/>
      <w:r>
        <w:t xml:space="preserve">Hill, G., 1990. Plasmopara risk oppenheim–a deterministic computer</w:t>
      </w:r>
      <w:r>
        <w:t xml:space="preserve"> </w:t>
      </w:r>
      <w:r>
        <w:t xml:space="preserve">model for the viticultural extension service. Not. Sulle Mal. Delle</w:t>
      </w:r>
      <w:r>
        <w:t xml:space="preserve"> </w:t>
      </w:r>
      <w:r>
        <w:t xml:space="preserve">Piante 111, 231–238.</w:t>
      </w:r>
      <w:bookmarkEnd w:id="129"/>
    </w:p>
    <w:p>
      <w:pPr>
        <w:pStyle w:val="Bibliography"/>
        <w:spacing w:line="240" w:lineRule="auto" w:before="0" w:after="0"/>
        <w:jc w:val="left"/>
        <w:ind w:left="360" w:hanging="360"/>
      </w:pPr>
      <w:bookmarkStart w:id="130" w:name="ref_huffman_2020_21"/>
      <w:r>
        <w:t xml:space="preserve">Huffman, W.E., 2020. Human capital and adoption of innovations: Policy</w:t>
      </w:r>
      <w:r>
        <w:t xml:space="preserve"> </w:t>
      </w:r>
      <w:r>
        <w:t xml:space="preserve">implications. Appl. Econ. Perspect. Policy 42, 92–99.</w:t>
      </w:r>
      <w:r>
        <w:t xml:space="preserve"> </w:t>
      </w:r>
      <w:r>
        <w:t xml:space="preserve">https://doi.org/10.1002/aepp.13010</w:t>
      </w:r>
      <w:bookmarkEnd w:id="130"/>
    </w:p>
    <w:p>
      <w:pPr>
        <w:pStyle w:val="Bibliography"/>
        <w:spacing w:line="240" w:lineRule="auto" w:before="0" w:after="0"/>
        <w:jc w:val="left"/>
        <w:ind w:left="360" w:hanging="360"/>
      </w:pPr>
      <w:bookmarkStart w:id="131" w:name="ref_hug_2005_22"/>
      <w:r>
        <w:t xml:space="preserve">Hug, F., 2005. Genetic structure and epidemiology of Plasmopara viticola</w:t>
      </w:r>
      <w:r>
        <w:t xml:space="preserve"> </w:t>
      </w:r>
      <w:r>
        <w:t xml:space="preserve">populations from Australian grape-growing regions 54 S.</w:t>
      </w:r>
      <w:r>
        <w:t xml:space="preserve"> </w:t>
      </w:r>
      <w:r>
        <w:t xml:space="preserve">https://doi.org/10.3929/ETHZ-A-004997559</w:t>
      </w:r>
      <w:bookmarkEnd w:id="131"/>
    </w:p>
    <w:p>
      <w:pPr>
        <w:pStyle w:val="Bibliography"/>
        <w:spacing w:line="240" w:lineRule="auto" w:before="0" w:after="0"/>
        <w:jc w:val="left"/>
        <w:ind w:left="360" w:hanging="360"/>
      </w:pPr>
      <w:bookmarkStart w:id="132" w:name="ref_hui_2023_23"/>
      <w:r>
        <w:t xml:space="preserve">Hui, W., Shuyi, Y., Wei, Z., Junbo, P., Haiyun, T., Chunhao, L., Jiye,</w:t>
      </w:r>
      <w:r>
        <w:t xml:space="preserve"> </w:t>
      </w:r>
      <w:r>
        <w:t xml:space="preserve">Y., 2023. Modeling the dynamic changes in Plasmopara viticola sporangia</w:t>
      </w:r>
      <w:r>
        <w:t xml:space="preserve"> </w:t>
      </w:r>
      <w:r>
        <w:t xml:space="preserve">concentration based on LSTM and understanding the impact of relative</w:t>
      </w:r>
      <w:r>
        <w:t xml:space="preserve"> </w:t>
      </w:r>
      <w:r>
        <w:t xml:space="preserve">factor variability. Int. J. Biometeorol. 67, 993–1002.</w:t>
      </w:r>
      <w:r>
        <w:t xml:space="preserve"> </w:t>
      </w:r>
      <w:r>
        <w:t xml:space="preserve">https://doi.org/10.1007/s00484-022-02419-7</w:t>
      </w:r>
      <w:bookmarkEnd w:id="132"/>
    </w:p>
    <w:p>
      <w:pPr>
        <w:pStyle w:val="Bibliography"/>
        <w:spacing w:line="240" w:lineRule="auto" w:before="0" w:after="0"/>
        <w:jc w:val="left"/>
        <w:ind w:left="360" w:hanging="360"/>
      </w:pPr>
      <w:bookmarkStart w:id="133" w:name="ref_hui_2022_24"/>
      <w:r>
        <w:t xml:space="preserve">Hui, W., Wei, Z., Bregaglio, S., Shuyi, Y., Xinghong, L., Yonghua, L.,</w:t>
      </w:r>
      <w:r>
        <w:t xml:space="preserve"> </w:t>
      </w:r>
      <w:r>
        <w:t xml:space="preserve">Chunhao, L., Jiye, Y., 2022. Adoption of Sobol’s analysis method</w:t>
      </w:r>
      <w:r>
        <w:t xml:space="preserve"> </w:t>
      </w:r>
      <w:r>
        <w:t xml:space="preserve">improved the application of a coupled primary and secondary infection</w:t>
      </w:r>
      <w:r>
        <w:t xml:space="preserve"> </w:t>
      </w:r>
      <w:r>
        <w:t xml:space="preserve">grape downy mildew model in northern China. Comput. Electron. Agric.</w:t>
      </w:r>
      <w:r>
        <w:t xml:space="preserve"> </w:t>
      </w:r>
      <w:r>
        <w:t xml:space="preserve">199, 107154. https://doi.org/10.1016/j.compag.2022.107154</w:t>
      </w:r>
      <w:bookmarkEnd w:id="133"/>
    </w:p>
    <w:p>
      <w:pPr>
        <w:pStyle w:val="Bibliography"/>
        <w:spacing w:line="240" w:lineRule="auto" w:before="0" w:after="0"/>
        <w:jc w:val="left"/>
        <w:ind w:left="360" w:hanging="360"/>
      </w:pPr>
      <w:bookmarkStart w:id="134" w:name="ref_iooss_2015_25"/>
      <w:r>
        <w:t xml:space="preserve">Iooss, B., Lemaître, P., 2015. A review on global sensitivity analysis</w:t>
      </w:r>
      <w:r>
        <w:t xml:space="preserve"> </w:t>
      </w:r>
      <w:r>
        <w:t xml:space="preserve">methods. Uncertain. Manag. Simul.-Optim. Complex Syst. Algorithms Appl.</w:t>
      </w:r>
      <w:r>
        <w:t xml:space="preserve"> </w:t>
      </w:r>
      <w:r>
        <w:t xml:space="preserve">101–122. https://doi.org/10.1007/978-1-4899-7547-8_5</w:t>
      </w:r>
      <w:bookmarkEnd w:id="134"/>
    </w:p>
    <w:p>
      <w:pPr>
        <w:pStyle w:val="Bibliography"/>
        <w:spacing w:line="240" w:lineRule="auto" w:before="0" w:after="0"/>
        <w:jc w:val="left"/>
        <w:ind w:left="360" w:hanging="360"/>
      </w:pPr>
      <w:bookmarkStart w:id="135" w:name="ref_kiefer_2002_26"/>
      <w:r>
        <w:t xml:space="preserve">Kiefer, B., Riemann, M., Büche, C., Kassemeyer, H.-H., Nick, P., 2002.</w:t>
      </w:r>
      <w:r>
        <w:t xml:space="preserve"> </w:t>
      </w:r>
      <w:r>
        <w:t xml:space="preserve">The host guides morphogenesis and stomatal targeting in the grapevine</w:t>
      </w:r>
      <w:r>
        <w:t xml:space="preserve"> </w:t>
      </w:r>
      <w:r>
        <w:t xml:space="preserve">pathogen Plasmopara viticola. Planta 215, 387–393.</w:t>
      </w:r>
      <w:r>
        <w:t xml:space="preserve"> </w:t>
      </w:r>
      <w:r>
        <w:t xml:space="preserve">https://doi.org/10.1007/s00425-002-0760-2</w:t>
      </w:r>
      <w:bookmarkEnd w:id="135"/>
    </w:p>
    <w:p>
      <w:pPr>
        <w:pStyle w:val="Bibliography"/>
        <w:spacing w:line="240" w:lineRule="auto" w:before="0" w:after="0"/>
        <w:jc w:val="left"/>
        <w:ind w:left="360" w:hanging="360"/>
      </w:pPr>
      <w:bookmarkStart w:id="136" w:name="ref_killigrew_2005_27"/>
      <w:r>
        <w:t xml:space="preserve">Killigrew, B., Sivasithamparam, K., Scott, E., 2005. Absence of oospores</w:t>
      </w:r>
      <w:r>
        <w:t xml:space="preserve"> </w:t>
      </w:r>
      <w:r>
        <w:t xml:space="preserve">of downy mildew of grape caused by Plasmopara viticola as the source of</w:t>
      </w:r>
      <w:r>
        <w:t xml:space="preserve"> </w:t>
      </w:r>
      <w:r>
        <w:t xml:space="preserve">primary inoculum in most Western Australian vineyards. Plant Dis. 89,</w:t>
      </w:r>
      <w:r>
        <w:t xml:space="preserve"> </w:t>
      </w:r>
      <w:r>
        <w:t xml:space="preserve">777. https://doi.org/10.1094/PD-89-0777C</w:t>
      </w:r>
      <w:bookmarkEnd w:id="136"/>
    </w:p>
    <w:p>
      <w:pPr>
        <w:pStyle w:val="Bibliography"/>
        <w:spacing w:line="240" w:lineRule="auto" w:before="0" w:after="0"/>
        <w:jc w:val="left"/>
        <w:ind w:left="360" w:hanging="360"/>
      </w:pPr>
      <w:bookmarkStart w:id="137" w:name="ref_kocsis_2024_28"/>
      <w:r>
        <w:t xml:space="preserve">Kocsis, I., Petróczy, M., Markó, G., 2024. Bridging boundaries:</w:t>
      </w:r>
      <w:r>
        <w:t xml:space="preserve"> </w:t>
      </w:r>
      <w:r>
        <w:t xml:space="preserve">Exploring vineyard, management and variety characteristics influencing</w:t>
      </w:r>
      <w:r>
        <w:t xml:space="preserve"> </w:t>
      </w:r>
      <w:r>
        <w:t xml:space="preserve">long-term infection of grapevine pathogens. OENO One 58.</w:t>
      </w:r>
      <w:r>
        <w:t xml:space="preserve"> </w:t>
      </w:r>
      <w:r>
        <w:t xml:space="preserve">https://doi.org/10.20870/oeno-one.2024.58.1.7677</w:t>
      </w:r>
      <w:bookmarkEnd w:id="137"/>
    </w:p>
    <w:p>
      <w:pPr>
        <w:pStyle w:val="Bibliography"/>
        <w:spacing w:line="240" w:lineRule="auto" w:before="0" w:after="0"/>
        <w:jc w:val="left"/>
        <w:ind w:left="360" w:hanging="360"/>
      </w:pPr>
      <w:bookmarkStart w:id="138" w:name="ref_koledenkova_2022_29"/>
      <w:r>
        <w:t xml:space="preserve">Koledenkova, K., Esmaeel, Q., Jacquard, C., Nowak, J., Clément, C., Ait</w:t>
      </w:r>
      <w:r>
        <w:t xml:space="preserve"> </w:t>
      </w:r>
      <w:r>
        <w:t xml:space="preserve">Barka, E., 2022. Plasmopara viticola, the causal agent of downy mildew of</w:t>
      </w:r>
      <w:r>
        <w:t xml:space="preserve"> </w:t>
      </w:r>
      <w:r>
        <w:t xml:space="preserve">grapevine: From its taxonomy to disease management. Front. Microbiol.</w:t>
      </w:r>
      <w:r>
        <w:t xml:space="preserve"> </w:t>
      </w:r>
      <w:r>
        <w:t xml:space="preserve">13, 889472. https://doi.org/10.3389/fmicb.2022.889472</w:t>
      </w:r>
      <w:bookmarkEnd w:id="138"/>
    </w:p>
    <w:p>
      <w:pPr>
        <w:pStyle w:val="Bibliography"/>
        <w:spacing w:line="240" w:lineRule="auto" w:before="0" w:after="0"/>
        <w:jc w:val="left"/>
        <w:ind w:left="360" w:hanging="360"/>
      </w:pPr>
      <w:bookmarkStart w:id="139" w:name="ref_koopman_2007_30"/>
      <w:r>
        <w:t xml:space="preserve">Koopman, T., Linde, C.C., Fourie, P.H., Mcleod, A., 2007. Population</w:t>
      </w:r>
      <w:r>
        <w:t xml:space="preserve"> </w:t>
      </w:r>
      <w:r>
        <w:t xml:space="preserve">genetic structure of</w:t>
      </w:r>
      <w:r>
        <w:t xml:space="preserve"> </w:t>
      </w:r>
      <w:r>
        <w:rPr>
          <w:i/>
          <w:iCs/>
        </w:rPr>
        <w:t xml:space="preserve">Plasmopara viticola</w:t>
      </w:r>
      <w:r>
        <w:t xml:space="preserve"> </w:t>
      </w:r>
      <w:r>
        <w:t xml:space="preserve">in the Western Cape</w:t>
      </w:r>
      <w:r>
        <w:t xml:space="preserve"> </w:t>
      </w:r>
      <w:r>
        <w:t xml:space="preserve">Province of South Africa. Mol. Plant Pathol. 8, 723–736.</w:t>
      </w:r>
      <w:r>
        <w:t xml:space="preserve"> </w:t>
      </w:r>
      <w:r>
        <w:t xml:space="preserve">https://doi.org/10.1111/j.1364-3703.2007.00429.x</w:t>
      </w:r>
      <w:bookmarkEnd w:id="139"/>
    </w:p>
    <w:p>
      <w:pPr>
        <w:pStyle w:val="Bibliography"/>
        <w:spacing w:line="240" w:lineRule="auto" w:before="0" w:after="0"/>
        <w:jc w:val="left"/>
        <w:ind w:left="360" w:hanging="360"/>
      </w:pPr>
      <w:bookmarkStart w:id="140" w:name="ref_lorenz_1995_31"/>
      <w:r>
        <w:t xml:space="preserve">Lorenz, D.H., Eichhorn, K.W., Bleiholder, H., Klose, R., Meier, U.,</w:t>
      </w:r>
      <w:r>
        <w:t xml:space="preserve"> </w:t>
      </w:r>
      <w:r>
        <w:t xml:space="preserve">Weber, E., 1995. Growth stages of the grapevine: Phenological growth</w:t>
      </w:r>
      <w:r>
        <w:t xml:space="preserve"> </w:t>
      </w:r>
      <w:r>
        <w:t xml:space="preserve">stages of the grapevine (Vitis vinifera L. ssp. vinifera)—Codes and</w:t>
      </w:r>
      <w:r>
        <w:t xml:space="preserve"> </w:t>
      </w:r>
      <w:r>
        <w:t xml:space="preserve">descriptions according to the extended BBCH scale. Aust. J. Grape Wine</w:t>
      </w:r>
      <w:r>
        <w:t xml:space="preserve"> </w:t>
      </w:r>
      <w:r>
        <w:t xml:space="preserve">Res. 1, 100–103. https://doi.org/10.1111/j.1755-0238.1995.tb00085.x</w:t>
      </w:r>
      <w:bookmarkEnd w:id="140"/>
    </w:p>
    <w:p>
      <w:pPr>
        <w:pStyle w:val="Bibliography"/>
        <w:spacing w:line="240" w:lineRule="auto" w:before="0" w:after="0"/>
        <w:jc w:val="left"/>
        <w:ind w:left="360" w:hanging="360"/>
      </w:pPr>
      <w:bookmarkStart w:id="141" w:name="ref_morris_1991_32"/>
      <w:r>
        <w:t xml:space="preserve">Morris, M.D., 1991. Factorial sampling plans for preliminary</w:t>
      </w:r>
      <w:r>
        <w:t xml:space="preserve"> </w:t>
      </w:r>
      <w:r>
        <w:t xml:space="preserve">computational experiments. Technometrics 33, 161–174.</w:t>
      </w:r>
      <w:r>
        <w:t xml:space="preserve"> </w:t>
      </w:r>
      <w:r>
        <w:t xml:space="preserve">https://doi.org/10.1080/00401706.1991.10484804</w:t>
      </w:r>
      <w:bookmarkEnd w:id="141"/>
    </w:p>
    <w:p>
      <w:pPr>
        <w:pStyle w:val="Bibliography"/>
        <w:spacing w:line="240" w:lineRule="auto" w:before="0" w:after="0"/>
        <w:jc w:val="left"/>
        <w:ind w:left="360" w:hanging="360"/>
      </w:pPr>
      <w:bookmarkStart w:id="142" w:name="ref_mouafotchinda_2022_33"/>
      <w:r>
        <w:t xml:space="preserve">Mouafo-Tchinda, R.A., Fall, M.L., Beaulieu, C., Carisse, O., 2022.</w:t>
      </w:r>
      <w:r>
        <w:t xml:space="preserve"> </w:t>
      </w:r>
      <w:r>
        <w:t xml:space="preserve">Competition between</w:t>
      </w:r>
      <w:r>
        <w:t xml:space="preserve"> </w:t>
      </w:r>
      <w:r>
        <w:rPr>
          <w:i/>
          <w:iCs/>
        </w:rPr>
        <w:t xml:space="preserve">Plasmopara viticola</w:t>
      </w:r>
      <w:r>
        <w:t xml:space="preserve"> </w:t>
      </w:r>
      <w:r>
        <w:t xml:space="preserve">Clade</w:t>
      </w:r>
      <w:r>
        <w:t xml:space="preserve"> </w:t>
      </w:r>
      <w:r>
        <w:rPr>
          <w:i/>
          <w:iCs/>
        </w:rPr>
        <w:t xml:space="preserve">riparia</w:t>
      </w:r>
      <w:r>
        <w:t xml:space="preserve"> </w:t>
      </w:r>
      <w:r>
        <w:t xml:space="preserve">and</w:t>
      </w:r>
      <w:r>
        <w:t xml:space="preserve"> </w:t>
      </w:r>
      <w:r>
        <w:t xml:space="preserve">Clade</w:t>
      </w:r>
      <w:r>
        <w:t xml:space="preserve"> </w:t>
      </w:r>
      <w:r>
        <w:rPr>
          <w:i/>
          <w:iCs/>
        </w:rPr>
        <w:t xml:space="preserve">aestivalis</w:t>
      </w:r>
      <w:r>
        <w:t xml:space="preserve"> : A race to lead grape downy mildew epidemics.</w:t>
      </w:r>
      <w:r>
        <w:t xml:space="preserve"> </w:t>
      </w:r>
      <w:r>
        <w:t xml:space="preserve">Plant Dis. 106, 2866–2875. https://doi.org/10.1094/PDIS-11-21-2465-RE</w:t>
      </w:r>
      <w:bookmarkEnd w:id="142"/>
    </w:p>
    <w:p>
      <w:pPr>
        <w:pStyle w:val="Bibliography"/>
        <w:spacing w:line="240" w:lineRule="auto" w:before="0" w:after="0"/>
        <w:jc w:val="left"/>
        <w:ind w:left="360" w:hanging="360"/>
      </w:pPr>
      <w:bookmarkStart w:id="143" w:name="ref_nationalbureauofstatisticsofchin_2024_34"/>
      <w:r>
        <w:t xml:space="preserve">National Bureau of Statistics of China, 2024. China statistical yearbook</w:t>
      </w:r>
      <w:r>
        <w:t xml:space="preserve"> </w:t>
      </w:r>
      <w:r>
        <w:t xml:space="preserve">2024. China Statistics Press.</w:t>
      </w:r>
      <w:bookmarkEnd w:id="143"/>
    </w:p>
    <w:p>
      <w:pPr>
        <w:pStyle w:val="Bibliography"/>
        <w:spacing w:line="240" w:lineRule="auto" w:before="0" w:after="0"/>
        <w:jc w:val="left"/>
        <w:ind w:left="360" w:hanging="360"/>
      </w:pPr>
      <w:bookmarkStart w:id="144" w:name="ref_nogueirajunior_2019_35"/>
      <w:r>
        <w:t xml:space="preserve">Nogueira Júnior, A.F., Ribeiro, R.V., Marcos, F.C.C., Amorim, L., 2019.</w:t>
      </w:r>
      <w:r>
        <w:t xml:space="preserve"> </w:t>
      </w:r>
      <w:r>
        <w:t xml:space="preserve">Virtual lesions and photosynthetic damage caused by Plasmopara viticola</w:t>
      </w:r>
      <w:r>
        <w:t xml:space="preserve"> </w:t>
      </w:r>
      <w:r>
        <w:t xml:space="preserve">in Vitis labrusca. Eur. J. Plant Pathol. 155, 545–555.</w:t>
      </w:r>
      <w:r>
        <w:t xml:space="preserve"> </w:t>
      </w:r>
      <w:r>
        <w:t xml:space="preserve">https://doi.org/10.1007/s10658-019-01791-2</w:t>
      </w:r>
      <w:bookmarkEnd w:id="144"/>
    </w:p>
    <w:p>
      <w:pPr>
        <w:pStyle w:val="Bibliography"/>
        <w:spacing w:line="240" w:lineRule="auto" w:before="0" w:after="0"/>
        <w:jc w:val="left"/>
        <w:ind w:left="360" w:hanging="360"/>
      </w:pPr>
      <w:bookmarkStart w:id="145" w:name="ref_norton_2020_36"/>
      <w:r>
        <w:t xml:space="preserve">Norton, G.W., Alwang, J., 2020. Changes in agricultural extension and</w:t>
      </w:r>
      <w:r>
        <w:t xml:space="preserve"> </w:t>
      </w:r>
      <w:r>
        <w:t xml:space="preserve">implications for farmer adoption of new practices. Appl. Econ. Perspect.</w:t>
      </w:r>
      <w:r>
        <w:t xml:space="preserve"> </w:t>
      </w:r>
      <w:r>
        <w:t xml:space="preserve">Policy 42, 8–20. https://doi.org/10.1002/aepp.13008</w:t>
      </w:r>
      <w:bookmarkEnd w:id="145"/>
    </w:p>
    <w:p>
      <w:pPr>
        <w:pStyle w:val="Bibliography"/>
        <w:spacing w:line="240" w:lineRule="auto" w:before="0" w:after="0"/>
        <w:jc w:val="left"/>
        <w:ind w:left="360" w:hanging="360"/>
      </w:pPr>
      <w:bookmarkStart w:id="146" w:name="ref_orlandini_2008_37"/>
      <w:r>
        <w:t xml:space="preserve">Orlandini, S., Massetti, L., Marta, A.D., 2008. An agrometeorological</w:t>
      </w:r>
      <w:r>
        <w:t xml:space="preserve"> </w:t>
      </w:r>
      <w:r>
        <w:t xml:space="preserve">approach for the simulation of Plasmopara viticola. Comput. Electron.</w:t>
      </w:r>
      <w:r>
        <w:t xml:space="preserve"> </w:t>
      </w:r>
      <w:r>
        <w:t xml:space="preserve">Agric. 64, 149–161. https://doi.org/10.1016/j.compag.2008.04.004</w:t>
      </w:r>
      <w:bookmarkEnd w:id="146"/>
    </w:p>
    <w:p>
      <w:pPr>
        <w:pStyle w:val="Bibliography"/>
        <w:spacing w:line="240" w:lineRule="auto" w:before="0" w:after="0"/>
        <w:jc w:val="left"/>
        <w:ind w:left="360" w:hanging="360"/>
      </w:pPr>
      <w:bookmarkStart w:id="147" w:name="ref_peng_2024_38"/>
      <w:r>
        <w:t xml:space="preserve">Peng, J., Wang, X., Wang, H., Li, X., Zhang, Q., Wang, M., Yan, J.,</w:t>
      </w:r>
      <w:r>
        <w:t xml:space="preserve"> </w:t>
      </w:r>
      <w:r>
        <w:t xml:space="preserve">2024. Advances in understanding grapevine downy mildew: From pathogen</w:t>
      </w:r>
      <w:r>
        <w:t xml:space="preserve"> </w:t>
      </w:r>
      <w:r>
        <w:t xml:space="preserve">infection to disease management. Mol. Plant Pathol. 25, e13401.</w:t>
      </w:r>
      <w:r>
        <w:t xml:space="preserve"> </w:t>
      </w:r>
      <w:r>
        <w:t xml:space="preserve">https://doi.org/10.1111/mpp.13401</w:t>
      </w:r>
      <w:bookmarkEnd w:id="147"/>
    </w:p>
    <w:p>
      <w:pPr>
        <w:pStyle w:val="Bibliography"/>
        <w:spacing w:line="240" w:lineRule="auto" w:before="0" w:after="0"/>
        <w:jc w:val="left"/>
        <w:ind w:left="360" w:hanging="360"/>
      </w:pPr>
      <w:bookmarkStart w:id="148" w:name="ref_perria_2022_39"/>
      <w:r>
        <w:t xml:space="preserve">Perria, R., Ciofini, A., Petrucci, W.A., D’Arcangelo, M.E.M., Valentini,</w:t>
      </w:r>
      <w:r>
        <w:t xml:space="preserve"> </w:t>
      </w:r>
      <w:r>
        <w:t xml:space="preserve">P., Storchi, P., Carella, G., Pacetti, A., Mugnai, L., 2022. A study on</w:t>
      </w:r>
      <w:r>
        <w:t xml:space="preserve"> </w:t>
      </w:r>
      <w:r>
        <w:t xml:space="preserve">the efficiency of sustainable wine grape vineyard management strategies.</w:t>
      </w:r>
      <w:r>
        <w:t xml:space="preserve"> </w:t>
      </w:r>
      <w:r>
        <w:t xml:space="preserve">Agronomy 12, 392. https://doi.org/10.3390/agronomy12020392</w:t>
      </w:r>
      <w:bookmarkEnd w:id="148"/>
    </w:p>
    <w:p>
      <w:pPr>
        <w:pStyle w:val="Bibliography"/>
        <w:spacing w:line="240" w:lineRule="auto" w:before="0" w:after="0"/>
        <w:jc w:val="left"/>
        <w:ind w:left="360" w:hanging="360"/>
      </w:pPr>
      <w:bookmarkStart w:id="149" w:name="ref_puelles_2024_40"/>
      <w:r>
        <w:t xml:space="preserve">Puelles, M., Arbizu-Milagro, J., Castillo-Ruiz, F.J., Peña, J.M., 2024.</w:t>
      </w:r>
      <w:r>
        <w:t xml:space="preserve"> </w:t>
      </w:r>
      <w:r>
        <w:t xml:space="preserve">Predictive models for grape downy mildew (Plasmopara viticola) as a</w:t>
      </w:r>
      <w:r>
        <w:t xml:space="preserve"> </w:t>
      </w:r>
      <w:r>
        <w:t xml:space="preserve">decision support system in Mediterranean conditions. Crop Prot. 175,</w:t>
      </w:r>
      <w:r>
        <w:t xml:space="preserve"> </w:t>
      </w:r>
      <w:r>
        <w:t xml:space="preserve">106450. https://doi.org/10.1016/j.cropro.2023.106450</w:t>
      </w:r>
      <w:bookmarkEnd w:id="149"/>
    </w:p>
    <w:p>
      <w:pPr>
        <w:pStyle w:val="Bibliography"/>
        <w:spacing w:line="240" w:lineRule="auto" w:before="0" w:after="0"/>
        <w:jc w:val="left"/>
        <w:ind w:left="360" w:hanging="360"/>
      </w:pPr>
      <w:bookmarkStart w:id="150" w:name="ref_ramanathan_1988_41"/>
      <w:r>
        <w:t xml:space="preserve">Ramanathan, N., Sivapalan, A., 1988. Some observations on the downy</w:t>
      </w:r>
      <w:r>
        <w:t xml:space="preserve"> </w:t>
      </w:r>
      <w:r>
        <w:t xml:space="preserve">mildew disease of grapevine caused by Plasmopara viticola in Jaffna. J.</w:t>
      </w:r>
      <w:r>
        <w:t xml:space="preserve"> </w:t>
      </w:r>
      <w:r>
        <w:t xml:space="preserve">Natl. Sci. Found. Sri Lanka 16.</w:t>
      </w:r>
      <w:bookmarkEnd w:id="150"/>
    </w:p>
    <w:p>
      <w:pPr>
        <w:pStyle w:val="Bibliography"/>
        <w:spacing w:line="240" w:lineRule="auto" w:before="0" w:after="0"/>
        <w:jc w:val="left"/>
        <w:ind w:left="360" w:hanging="360"/>
      </w:pPr>
      <w:bookmarkStart w:id="151" w:name="ref_rossi_2012_42"/>
      <w:r>
        <w:t xml:space="preserve">Rossi, V., Caffi, T., 2012. The role of rain in dispersal of the primary</w:t>
      </w:r>
      <w:r>
        <w:t xml:space="preserve"> </w:t>
      </w:r>
      <w:r>
        <w:t xml:space="preserve">inoculum of</w:t>
      </w:r>
      <w:r>
        <w:t xml:space="preserve"> </w:t>
      </w:r>
      <w:r>
        <w:rPr>
          <w:i/>
          <w:iCs/>
        </w:rPr>
        <w:t xml:space="preserve">Plasmopara viticola</w:t>
      </w:r>
      <w:r>
        <w:t xml:space="preserve">. Phytopathology® 102, 158–165.</w:t>
      </w:r>
      <w:r>
        <w:t xml:space="preserve"> </w:t>
      </w:r>
      <w:r>
        <w:t xml:space="preserve">https://doi.org/10.1094/PHYTO-08-11-0223</w:t>
      </w:r>
      <w:bookmarkEnd w:id="151"/>
    </w:p>
    <w:p>
      <w:pPr>
        <w:pStyle w:val="Bibliography"/>
        <w:spacing w:line="240" w:lineRule="auto" w:before="0" w:after="0"/>
        <w:jc w:val="left"/>
        <w:ind w:left="360" w:hanging="360"/>
      </w:pPr>
      <w:bookmarkStart w:id="152" w:name="ref_rossi_2008_43"/>
      <w:r>
        <w:t xml:space="preserve">Rossi, V., Caffi, T., Giosuè, S., Bugiani, R., 2008. A mechanistic model</w:t>
      </w:r>
      <w:r>
        <w:t xml:space="preserve"> </w:t>
      </w:r>
      <w:r>
        <w:t xml:space="preserve">simulating primary infections of downy mildew in grapevine. Ecol. Model.</w:t>
      </w:r>
      <w:r>
        <w:t xml:space="preserve"> </w:t>
      </w:r>
      <w:r>
        <w:t xml:space="preserve">212, 480–491. https://doi.org/10.1016/j.ecolmodel.2007.10.046</w:t>
      </w:r>
      <w:bookmarkEnd w:id="152"/>
    </w:p>
    <w:p>
      <w:pPr>
        <w:pStyle w:val="Bibliography"/>
        <w:spacing w:line="240" w:lineRule="auto" w:before="0" w:after="0"/>
        <w:jc w:val="left"/>
        <w:ind w:left="360" w:hanging="360"/>
      </w:pPr>
      <w:bookmarkStart w:id="153" w:name="ref_rossin_2015_44"/>
      <w:r>
        <w:t xml:space="preserve">Rossin, G., Villalta, D., Martelli, P., Cecconi, D., Polverari, A.,</w:t>
      </w:r>
      <w:r>
        <w:t xml:space="preserve"> </w:t>
      </w:r>
      <w:r>
        <w:t xml:space="preserve">Zoccatelli, G., 2015. Grapevine downy mildew</w:t>
      </w:r>
      <w:r>
        <w:t xml:space="preserve"> </w:t>
      </w:r>
      <w:r>
        <w:rPr>
          <w:i/>
          <w:iCs/>
        </w:rPr>
        <w:t xml:space="preserve">Plasmopara</w:t>
      </w:r>
      <w:r>
        <w:rPr>
          <w:i/>
          <w:iCs/>
        </w:rPr>
        <w:t xml:space="preserve"> </w:t>
      </w:r>
      <w:r>
        <w:rPr>
          <w:i/>
          <w:iCs/>
        </w:rPr>
        <w:t xml:space="preserve">viticola</w:t>
      </w:r>
      <w:r>
        <w:t xml:space="preserve"> </w:t>
      </w:r>
      <w:r>
        <w:t xml:space="preserve">infection elicits the expression of allergenic</w:t>
      </w:r>
      <w:r>
        <w:t xml:space="preserve"> </w:t>
      </w:r>
      <w:r>
        <w:t xml:space="preserve">pathogenesis-related proteins. Int. Arch. Allergy Immunol. 168, 90–95.</w:t>
      </w:r>
      <w:r>
        <w:t xml:space="preserve"> </w:t>
      </w:r>
      <w:r>
        <w:t xml:space="preserve">https://doi.org/10.1159/000441792</w:t>
      </w:r>
      <w:bookmarkEnd w:id="153"/>
    </w:p>
    <w:p>
      <w:pPr>
        <w:pStyle w:val="Bibliography"/>
        <w:spacing w:line="240" w:lineRule="auto" w:before="0" w:after="0"/>
        <w:jc w:val="left"/>
        <w:ind w:left="360" w:hanging="360"/>
      </w:pPr>
      <w:bookmarkStart w:id="154" w:name="ref_rumbou_2006_45"/>
      <w:r>
        <w:t xml:space="preserve">Rumbou, A., Gessler, C., 2006. Particular structure of</w:t>
      </w:r>
      <w:r>
        <w:t xml:space="preserve"> </w:t>
      </w:r>
      <w:r>
        <w:rPr>
          <w:i/>
          <w:iCs/>
        </w:rPr>
        <w:t xml:space="preserve">Plasmopara</w:t>
      </w:r>
      <w:r>
        <w:rPr>
          <w:i/>
          <w:iCs/>
        </w:rPr>
        <w:t xml:space="preserve"> </w:t>
      </w:r>
      <w:r>
        <w:rPr>
          <w:i/>
          <w:iCs/>
        </w:rPr>
        <w:t xml:space="preserve">viticola</w:t>
      </w:r>
      <w:r>
        <w:t xml:space="preserve"> </w:t>
      </w:r>
      <w:r>
        <w:t xml:space="preserve">populations evolved under Greek island conditions.</w:t>
      </w:r>
      <w:r>
        <w:t xml:space="preserve"> </w:t>
      </w:r>
      <w:r>
        <w:t xml:space="preserve">Phytopathology® 96, 501–509. https://doi.org/10.1094/PHYTO-96-0501</w:t>
      </w:r>
      <w:bookmarkEnd w:id="154"/>
    </w:p>
    <w:p>
      <w:pPr>
        <w:pStyle w:val="Bibliography"/>
        <w:spacing w:line="240" w:lineRule="auto" w:before="0" w:after="0"/>
        <w:jc w:val="left"/>
        <w:ind w:left="360" w:hanging="360"/>
      </w:pPr>
      <w:bookmarkStart w:id="155" w:name="ref_russell_1995_46"/>
      <w:r>
        <w:t xml:space="preserve">Russell, P., 1995. Fungicide resistance: Occurrence and management. J.</w:t>
      </w:r>
      <w:r>
        <w:t xml:space="preserve"> </w:t>
      </w:r>
      <w:r>
        <w:t xml:space="preserve">Agric. Sci. 124, 317–323.</w:t>
      </w:r>
      <w:r>
        <w:t xml:space="preserve"> </w:t>
      </w:r>
      <w:hyperlink r:id="rId106">
        <w:r>
          <w:rPr>
            <w:rStyle w:val="Hyperlink"/>
          </w:rPr>
          <w:t xml:space="preserve">https://doi.org/10.1017/S0021859600073275</w:t>
        </w:r>
      </w:hyperlink>
      <w:bookmarkEnd w:id="155"/>
    </w:p>
    <w:p>
      <w:pPr>
        <w:pStyle w:val="Bibliography"/>
        <w:spacing w:line="240" w:lineRule="auto" w:before="0" w:after="0"/>
        <w:jc w:val="left"/>
        <w:ind w:left="360" w:hanging="360"/>
      </w:pPr>
      <w:bookmarkStart w:id="156" w:name="ref_scholthof_2007_47"/>
      <w:r>
        <w:t xml:space="preserve">Scholthof, K.-B.G., 2007. The disease triangle: pathogens, the</w:t>
      </w:r>
      <w:r>
        <w:t xml:space="preserve"> </w:t>
      </w:r>
      <w:r>
        <w:t xml:space="preserve">environment and society. Nat. Rev. Microbiol. 5, 152–156.</w:t>
      </w:r>
      <w:r>
        <w:t xml:space="preserve"> </w:t>
      </w:r>
      <w:r>
        <w:t xml:space="preserve">https://doi.org/10.1038/nrmicro1596</w:t>
      </w:r>
      <w:bookmarkEnd w:id="156"/>
    </w:p>
    <w:p>
      <w:pPr>
        <w:pStyle w:val="Bibliography"/>
        <w:spacing w:line="240" w:lineRule="auto" w:before="0" w:after="0"/>
        <w:jc w:val="left"/>
        <w:ind w:left="360" w:hanging="360"/>
      </w:pPr>
      <w:bookmarkStart w:id="157" w:name="ref_song_2021_48"/>
      <w:r>
        <w:t xml:space="preserve">Song, K., Liu, X., Gao, T., 2021. Real-time rainfall estimation using</w:t>
      </w:r>
      <w:r>
        <w:t xml:space="preserve"> </w:t>
      </w:r>
      <w:r>
        <w:t xml:space="preserve">microwave links: A case study in east China during the plum rain season</w:t>
      </w:r>
      <w:r>
        <w:t xml:space="preserve"> </w:t>
      </w:r>
      <w:r>
        <w:t xml:space="preserve">in 2020. Sensors 21, 858. https://doi.org/10.3390/s21030858</w:t>
      </w:r>
      <w:bookmarkEnd w:id="157"/>
    </w:p>
    <w:p>
      <w:pPr>
        <w:pStyle w:val="Bibliography"/>
        <w:spacing w:line="240" w:lineRule="auto" w:before="0" w:after="0"/>
        <w:jc w:val="left"/>
        <w:ind w:left="360" w:hanging="360"/>
      </w:pPr>
      <w:bookmarkStart w:id="158" w:name="ref_strizyk_1983_49"/>
      <w:r>
        <w:t xml:space="preserve">Strizyk, S., 1983. Modèle d’état potentiel d’infection: Application à</w:t>
      </w:r>
      <w:r>
        <w:t xml:space="preserve"> </w:t>
      </w:r>
      <w:r>
        <w:t xml:space="preserve">Plasmopara viticola. Assoc. Coord. Tech. Agric. Maison Natl. Elev.</w:t>
      </w:r>
      <w:r>
        <w:t xml:space="preserve"> </w:t>
      </w:r>
      <w:r>
        <w:t xml:space="preserve">1–46.</w:t>
      </w:r>
      <w:bookmarkEnd w:id="158"/>
    </w:p>
    <w:p>
      <w:pPr>
        <w:pStyle w:val="Bibliography"/>
        <w:spacing w:line="240" w:lineRule="auto" w:before="0" w:after="0"/>
        <w:jc w:val="left"/>
        <w:ind w:left="360" w:hanging="360"/>
      </w:pPr>
      <w:bookmarkStart w:id="159" w:name="ref_taylor_2018_50"/>
      <w:r>
        <w:t xml:space="preserve">Taylor, A., 2018. Genetic structure, survival mechanisms and spread of</w:t>
      </w:r>
      <w:r>
        <w:t xml:space="preserve"> </w:t>
      </w:r>
      <w:r>
        <w:t xml:space="preserve">downy mildew in Western Australian and Australian vineyards.</w:t>
      </w:r>
      <w:bookmarkEnd w:id="159"/>
    </w:p>
    <w:p>
      <w:pPr>
        <w:pStyle w:val="Bibliography"/>
        <w:spacing w:line="240" w:lineRule="auto" w:before="0" w:after="0"/>
        <w:jc w:val="left"/>
        <w:ind w:left="360" w:hanging="360"/>
      </w:pPr>
      <w:bookmarkStart w:id="160" w:name="ref_tesic_2007_51"/>
      <w:r>
        <w:t xml:space="preserve">Tesic, D., Keller, M., Hutton, R.J., 2007. Influence of vineyard floor</w:t>
      </w:r>
      <w:r>
        <w:t xml:space="preserve"> </w:t>
      </w:r>
      <w:r>
        <w:t xml:space="preserve">management practices on grapevine vegetative growth, yield, and fruit</w:t>
      </w:r>
      <w:r>
        <w:t xml:space="preserve"> </w:t>
      </w:r>
      <w:r>
        <w:t xml:space="preserve">composition. Am. J. Enol. Vitic. 58, 1–11.</w:t>
      </w:r>
      <w:r>
        <w:t xml:space="preserve"> </w:t>
      </w:r>
      <w:r>
        <w:t xml:space="preserve">https://doi.org/10.5344/ajev.2007.58.1.1</w:t>
      </w:r>
      <w:bookmarkEnd w:id="160"/>
    </w:p>
    <w:p>
      <w:pPr>
        <w:pStyle w:val="Bibliography"/>
        <w:spacing w:line="240" w:lineRule="auto" w:before="0" w:after="0"/>
        <w:jc w:val="left"/>
        <w:ind w:left="360" w:hanging="360"/>
      </w:pPr>
      <w:bookmarkStart w:id="161" w:name="ref_tian_2022_52"/>
      <w:r>
        <w:t xml:space="preserve">Tian, Y., Yao, R., Zhao, E., Yao, Q., Pan, X., 2022. The space</w:t>
      </w:r>
      <w:r>
        <w:t xml:space="preserve"> </w:t>
      </w:r>
      <w:r>
        <w:t xml:space="preserve">conceptual models and water vapor characteristics of typical rainstorms</w:t>
      </w:r>
      <w:r>
        <w:t xml:space="preserve"> </w:t>
      </w:r>
      <w:r>
        <w:t xml:space="preserve">during plum rain season. Adv. Meteorol. 2022, 6971110.</w:t>
      </w:r>
      <w:r>
        <w:t xml:space="preserve"> </w:t>
      </w:r>
      <w:r>
        <w:t xml:space="preserve">https://doi.org/10.1155/2022/6971110</w:t>
      </w:r>
      <w:bookmarkEnd w:id="161"/>
    </w:p>
    <w:p>
      <w:pPr>
        <w:pStyle w:val="Bibliography"/>
        <w:spacing w:line="240" w:lineRule="auto" w:before="0" w:after="0"/>
        <w:jc w:val="left"/>
        <w:ind w:left="360" w:hanging="360"/>
      </w:pPr>
      <w:bookmarkStart w:id="162" w:name="ref_vanderplank_2013_53"/>
      <w:r>
        <w:t xml:space="preserve">Van der Plank, J.E., 2013. Plant diseases: Epidemics and control.</w:t>
      </w:r>
      <w:r>
        <w:t xml:space="preserve"> </w:t>
      </w:r>
      <w:r>
        <w:t xml:space="preserve">Elsevier.</w:t>
      </w:r>
      <w:bookmarkEnd w:id="162"/>
    </w:p>
    <w:p>
      <w:pPr>
        <w:pStyle w:val="Bibliography"/>
        <w:spacing w:line="240" w:lineRule="auto" w:before="0" w:after="0"/>
        <w:jc w:val="left"/>
        <w:ind w:left="360" w:hanging="360"/>
      </w:pPr>
      <w:bookmarkStart w:id="163" w:name="ref_wang_2020_54"/>
      <w:r>
        <w:t xml:space="preserve">Wang, X., Li, H., García De Cortázar Atauri, I., 2020. Assessing</w:t>
      </w:r>
      <w:r>
        <w:t xml:space="preserve"> </w:t>
      </w:r>
      <w:r>
        <w:t xml:space="preserve">grapevine phenological models under Chinese climatic conditions. OENO</w:t>
      </w:r>
      <w:r>
        <w:t xml:space="preserve"> </w:t>
      </w:r>
      <w:r>
        <w:t xml:space="preserve">One. https://doi.org/10.20870/oeno-one.2020.54.3.3195</w:t>
      </w:r>
      <w:bookmarkEnd w:id="163"/>
    </w:p>
    <w:p>
      <w:pPr>
        <w:pStyle w:val="Bibliography"/>
        <w:spacing w:line="240" w:lineRule="auto" w:before="0" w:after="0"/>
        <w:jc w:val="left"/>
        <w:ind w:left="360" w:hanging="360"/>
      </w:pPr>
      <w:bookmarkStart w:id="164" w:name="ref_yan_2024_55"/>
      <w:r>
        <w:t xml:space="preserve">Yan, C., Liang, Z., Yin, L., Wei, S., Tian, Q., Li, Y., Cheng, H., Liu,</w:t>
      </w:r>
      <w:r>
        <w:t xml:space="preserve"> </w:t>
      </w:r>
      <w:r>
        <w:t xml:space="preserve">J., Yu, Q., Zhao, G., et al., 2024. AFM-YOLOv8s: An accurate, fast, and</w:t>
      </w:r>
      <w:r>
        <w:t xml:space="preserve"> </w:t>
      </w:r>
      <w:r>
        <w:t xml:space="preserve">highly robust model for detection of sporangia of Plasmopara viticola</w:t>
      </w:r>
      <w:r>
        <w:t xml:space="preserve"> </w:t>
      </w:r>
      <w:r>
        <w:t xml:space="preserve">with various morphological variants. Plant Phenomics 6, 0246.</w:t>
      </w:r>
      <w:r>
        <w:t xml:space="preserve"> </w:t>
      </w:r>
      <w:r>
        <w:t xml:space="preserve">https://doi.org/10.34133/plantphenomics.0246</w:t>
      </w:r>
      <w:bookmarkEnd w:id="164"/>
    </w:p>
    <w:p>
      <w:pPr>
        <w:pStyle w:val="Bibliography"/>
        <w:spacing w:line="240" w:lineRule="auto" w:before="0" w:after="0"/>
        <w:jc w:val="left"/>
        <w:ind w:left="360" w:hanging="360"/>
      </w:pPr>
      <w:bookmarkStart w:id="165" w:name="ref_yi_2019_56"/>
      <w:r>
        <w:t xml:space="preserve">Yi, T., Hong, Y., Li, M., Li, X., 2019. Examination and characterization</w:t>
      </w:r>
      <w:r>
        <w:t xml:space="preserve"> </w:t>
      </w:r>
      <w:r>
        <w:t xml:space="preserve">of key factors to seasonal epidemics of downy mildew in native grape</w:t>
      </w:r>
      <w:r>
        <w:t xml:space="preserve"> </w:t>
      </w:r>
      <w:r>
        <w:t xml:space="preserve">species Vitis davidii in southern China with the use of disease warning</w:t>
      </w:r>
      <w:r>
        <w:t xml:space="preserve"> </w:t>
      </w:r>
      <w:r>
        <w:t xml:space="preserve">systems. Eur. J. Plant Pathol. 154, 389–404.</w:t>
      </w:r>
      <w:r>
        <w:t xml:space="preserve"> </w:t>
      </w:r>
      <w:r>
        <w:t xml:space="preserve">https://doi.org/10.1007/s10658-018-01663-1</w:t>
      </w:r>
      <w:bookmarkEnd w:id="165"/>
    </w:p>
    <w:p>
      <w:pPr>
        <w:pStyle w:val="Bibliography"/>
        <w:spacing w:line="240" w:lineRule="auto" w:before="0" w:after="0"/>
        <w:jc w:val="left"/>
        <w:ind w:left="360" w:hanging="360"/>
      </w:pPr>
      <w:bookmarkStart w:id="166" w:name="ref_yin_2023_57"/>
      <w:r>
        <w:t xml:space="preserve">Yin, Y., Miao, J., Shao, W., Liu, X., Zhao, Y., Ma, Z., 2023. Fungicide</w:t>
      </w:r>
      <w:r>
        <w:t xml:space="preserve"> </w:t>
      </w:r>
      <w:r>
        <w:t xml:space="preserve">resistance: Progress in understanding mechanism, monitoring, and</w:t>
      </w:r>
      <w:r>
        <w:t xml:space="preserve"> </w:t>
      </w:r>
      <w:r>
        <w:t xml:space="preserve">management. Phytopathology® 113, 707–718.</w:t>
      </w:r>
      <w:r>
        <w:t xml:space="preserve"> </w:t>
      </w:r>
      <w:r>
        <w:t xml:space="preserve">https://doi.org/10.1094/PHYTO-10-22-0370-KD</w:t>
      </w:r>
      <w:bookmarkEnd w:id="166"/>
    </w:p>
    <w:p>
      <w:pPr>
        <w:pStyle w:val="Bibliography"/>
        <w:spacing w:line="240" w:lineRule="auto" w:before="0" w:after="0"/>
        <w:jc w:val="left"/>
        <w:ind w:left="360" w:hanging="360"/>
      </w:pPr>
      <w:bookmarkStart w:id="167" w:name="ref_yu_2022_58"/>
      <w:r>
        <w:t xml:space="preserve">Yu, S., Li, B., Guan, T., Liu, L., Wang, H., Liu, C., Zang, C., Huang,</w:t>
      </w:r>
      <w:r>
        <w:t xml:space="preserve"> </w:t>
      </w:r>
      <w:r>
        <w:t xml:space="preserve">Y., Liang, C., 2022. A comparison of three types of vineyard management</w:t>
      </w:r>
      <w:r>
        <w:t xml:space="preserve"> </w:t>
      </w:r>
      <w:r>
        <w:t xml:space="preserve">and their effects on the structure of Plasmopara viticola populations</w:t>
      </w:r>
      <w:r>
        <w:t xml:space="preserve"> </w:t>
      </w:r>
      <w:r>
        <w:t xml:space="preserve">and epidemic dynamics of grape downy mildew. Plants 11,</w:t>
      </w:r>
      <w:r>
        <w:t xml:space="preserve"> </w:t>
      </w:r>
      <w:r>
        <w:t xml:space="preserve">2175. https://doi.org/10.3390/plants11162175</w:t>
      </w:r>
      <w:bookmarkEnd w:id="167"/>
    </w:p>
    <w:p>
      <w:pPr>
        <w:pStyle w:val="Bibliography"/>
        <w:spacing w:line="240" w:lineRule="auto" w:before="0" w:after="0"/>
        <w:jc w:val="left"/>
        <w:ind w:left="360" w:hanging="360"/>
      </w:pPr>
      <w:bookmarkStart w:id="168" w:name="ref_yu_2021_59"/>
      <w:r>
        <w:t xml:space="preserve">Yu, S., Li, B., Wang, H., Liu, L., Guan, T., Liu, C., 2021. Study on</w:t>
      </w:r>
      <w:r>
        <w:t xml:space="preserve"> </w:t>
      </w:r>
      <w:r>
        <w:t xml:space="preserve">estimation model for grape downy mildew prediction based on airborne</w:t>
      </w:r>
      <w:r>
        <w:t xml:space="preserve"> </w:t>
      </w:r>
      <w:r>
        <w:t xml:space="preserve">sporangium concentration of Plasmopara viticola in field. Mag. Publ.</w:t>
      </w:r>
      <w:r>
        <w:t xml:space="preserve"> </w:t>
      </w:r>
      <w:r>
        <w:t xml:space="preserve">House. https://doi.org/10.13925/j.cnki.gsxb.20210164</w:t>
      </w:r>
      <w:bookmarkEnd w:id="168"/>
    </w:p>
    <w:p>
      <w:pPr>
        <w:pStyle w:val="Bibliography"/>
        <w:spacing w:line="240" w:lineRule="auto" w:before="0" w:after="0"/>
        <w:jc w:val="left"/>
        <w:ind w:left="360" w:hanging="360"/>
      </w:pPr>
      <w:bookmarkStart w:id="169" w:name="ref_zhang_2020_60"/>
      <w:r>
        <w:t xml:space="preserve">Zhang, C., Zhou, T., Xu, Y., Du, Z., Li, B., Wang, Jinhua, Wang, Jun,</w:t>
      </w:r>
      <w:r>
        <w:t xml:space="preserve"> </w:t>
      </w:r>
      <w:r>
        <w:t xml:space="preserve">Zhu, L., 2020. Ecotoxicology of strobilurin fungicides. Sci. Total</w:t>
      </w:r>
      <w:r>
        <w:t xml:space="preserve"> </w:t>
      </w:r>
      <w:r>
        <w:t xml:space="preserve">Environ. 742, 140611. https://doi.org/10.1016/j.scitotenv.2020.140611</w:t>
      </w:r>
      <w:bookmarkEnd w:id="169"/>
    </w:p>
    <w:p>
      <w:pPr>
        <w:pStyle w:val="Bibliography"/>
        <w:spacing w:line="240" w:lineRule="auto" w:before="0" w:after="0"/>
        <w:jc w:val="left"/>
        <w:ind w:left="360" w:hanging="360"/>
      </w:pPr>
      <w:bookmarkStart w:id="170" w:name="ref_zhang_2025_61"/>
      <w:r>
        <w:t xml:space="preserve">Zhang, Z., Niu, Z., Chen, Z., Zhao, Y., Yang, L., 2025. Review of the</w:t>
      </w:r>
      <w:r>
        <w:t xml:space="preserve"> </w:t>
      </w:r>
      <w:r>
        <w:t xml:space="preserve">pathogenic mechanism of grape downy mildew (Plasmopara viticola) and</w:t>
      </w:r>
      <w:r>
        <w:t xml:space="preserve"> </w:t>
      </w:r>
      <w:r>
        <w:t xml:space="preserve">strategies for its control. Microorganisms 13, 1279.</w:t>
      </w:r>
      <w:r>
        <w:t xml:space="preserve"> </w:t>
      </w:r>
      <w:hyperlink r:id="rId107">
        <w:r>
          <w:rPr>
            <w:rStyle w:val="Hyperlink"/>
          </w:rPr>
          <w:t xml:space="preserve">https://doi.org/10.3390/microorganisms13061279</w:t>
        </w:r>
      </w:hyperlink>
      <w:bookmarkEnd w:id="170"/>
    </w:p>
    <w:p>
      <w:pPr>
        <w:pStyle w:val="Bibliography"/>
        <w:spacing w:line="240" w:lineRule="auto" w:before="0" w:after="0"/>
        <w:jc w:val="left"/>
        <w:ind w:left="360" w:hanging="360"/>
      </w:pPr>
      <w:bookmarkStart w:id="171" w:name="ref_zhao_2024_62"/>
      <w:r>
        <w:t xml:space="preserve">Zhao, G., Zhao, Q., Webber, H., Johnen, A., Rossi, V., Nogueira Junior,</w:t>
      </w:r>
      <w:r>
        <w:t xml:space="preserve"> </w:t>
      </w:r>
      <w:r>
        <w:t xml:space="preserve">A.F., 2024. Integrating machine learning and change detection for</w:t>
      </w:r>
      <w:r>
        <w:t xml:space="preserve"> </w:t>
      </w:r>
      <w:r>
        <w:t xml:space="preserve">enhanced crop disease forecasting in rice farming: A multi-regional</w:t>
      </w:r>
      <w:r>
        <w:t xml:space="preserve"> </w:t>
      </w:r>
      <w:r>
        <w:t xml:space="preserve">study. Eur. J. Agron. 160, 127317.</w:t>
      </w:r>
      <w:r>
        <w:t xml:space="preserve"> </w:t>
      </w:r>
      <w:r>
        <w:t xml:space="preserve">https://doi.org/10.1016/j.eja.2024.127317</w:t>
      </w:r>
      <w:bookmarkEnd w:id="171"/>
    </w:p>
    <w:p>
      <w:pPr>
        <w:pStyle w:val="Bibliography"/>
        <w:spacing w:line="240" w:lineRule="auto" w:before="0" w:after="0"/>
        <w:jc w:val="left"/>
        <w:ind w:left="360" w:hanging="360"/>
      </w:pPr>
      <w:bookmarkStart w:id="172" w:name="ref_zubrod_2019_63"/>
      <w:r>
        <w:t xml:space="preserve">Zubrod, J.P., Bundschuh, M., Arts, G., Brühl, C.A., Imfeld, G., Knäbel,</w:t>
      </w:r>
      <w:r>
        <w:t xml:space="preserve"> </w:t>
      </w:r>
      <w:r>
        <w:t xml:space="preserve">A., Payraudeau, S., Rasmussen, J.J., Rohr, J., Scharmüller, A., et al.,</w:t>
      </w:r>
      <w:r>
        <w:t xml:space="preserve"> </w:t>
      </w:r>
      <w:r>
        <w:t xml:space="preserve">2019. Fungicides: an overlooked pesticide class? Environ. Sci. Technol.</w:t>
      </w:r>
      <w:r>
        <w:t xml:space="preserve"> </w:t>
      </w:r>
      <w:r>
        <w:t xml:space="preserve">53, 3347–3365. https://doi.org/10.1021/acs.est.8b04392</w:t>
      </w:r>
      <w:bookmarkEnd w:id="172"/>
    </w:p>
    <w:bookmarkStart w:id="108" w:name="appendix-a.-supplementary-material"/>
    <w:p>
      <w:pPr>
        <w:pStyle w:val="UnnumberedHeading"/>
      </w:pPr>
      <w:r>
        <w:t xml:space="preserve">Appendix A. Supplementary</w:t>
      </w:r>
      <w:r>
        <w:t xml:space="preserve"> </w:t>
      </w:r>
      <w:r>
        <w:t xml:space="preserve">material</w:t>
      </w:r>
    </w:p>
    <w:p>
      <w:pPr>
        <w:pStyle w:val="FirstParagraph"/>
        <w:spacing w:line="480" w:lineRule="auto"/>
      </w:pPr>
      <w:r>
        <w:t xml:space="preserve">Supplementary data associated with this article can be found in the</w:t>
      </w:r>
      <w:r>
        <w:t xml:space="preserve"> </w:t>
      </w:r>
      <w:r>
        <w:t xml:space="preserve">online version.</w:t>
      </w:r>
    </w:p>
    <w:bookmarkEnd w:id="108"/>
    <w:bookmarkEnd w:id="109"/>
    <w:sectPr>
      <w:footerReference w:type="default" r:id="rId108"/>
      <w:lnNumType w:countBy="1" w:restart="continuous" w:distance="360"/>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abstractNum w:abstractNumId="991">
    <w:nsid w:val="D0C0C0DE"/>
    <w:multiLevelType w:val="hybridMultilevel"/>
    <w:tmpl w:val="D0C0C0DF"/>
    <w:lvl w:ilvl="0">
      <w:start w:val="1"/>
      <w:numFmt w:val="decimal"/>
      <w:pStyle w:val="Heading1"/>
      <w:suff w:val="space"/>
      <w:lvlText w:val="%1"/>
      <w:lvlJc w:val="left"/>
      <w:pPr>
        <w:ind w:left="0" w:hanging="0"/>
      </w:pPr>
    </w:lvl>
    <w:lvl w:ilvl="1">
      <w:start w:val="1"/>
      <w:numFmt w:val="decimal"/>
      <w:pStyle w:val="Heading2"/>
      <w:suff w:val="space"/>
      <w:lvlText w:val="%1.%2"/>
      <w:lvlJc w:val="left"/>
      <w:pPr>
        <w:ind w:left="0" w:hanging="0"/>
      </w:pPr>
    </w:lvl>
    <w:lvl w:ilvl="2">
      <w:start w:val="1"/>
      <w:numFmt w:val="decimal"/>
      <w:pStyle w:val="Heading3"/>
      <w:suff w:val="space"/>
      <w:lvlText w:val="%1.%2.%3"/>
      <w:lvlJc w:val="left"/>
      <w:pPr>
        <w:ind w:left="0" w:hanging="0"/>
      </w:pPr>
    </w:lvl>
    <w:lvl w:ilvl="3">
      <w:start w:val="1"/>
      <w:numFmt w:val="decimal"/>
      <w:pStyle w:val="Heading4"/>
      <w:suff w:val="space"/>
      <w:lvlText w:val="%1.%2.%3.%4"/>
      <w:lvlJc w:val="left"/>
      <w:pPr>
        <w:ind w:left="0" w:hanging="0"/>
      </w:pPr>
    </w:lvl>
  </w:abstract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rPr>
    </w:rPrDefault>
    <w:pPrDefault>
      <w:pPr>
        <w:jc w:val="both"/>
        <w:spacing w:after="120" w:line="360" w:lineRule="auto"/>
      </w:pPr>
    </w:pPrDefault>
  </w:docDefaults>
  <w:style w:styleId="Normal" w:type="paragraph">
    <w:name w:val="Normal"/>
    <w:next w:val="Normal"/>
    <w:qFormat/>
    <w:pPr>
      <w:jc w:val="both"/>
      <w:spacing w:after="120" w:line="480" w:lineRule="auto"/>
    </w:pPr>
    <w:rPr>
      <w:rFonts w:ascii="Times New Roman" w:cs="Times New Roman" w:eastAsia="Times New Roman" w:hAnsi="Times New Roman"/>
      <w:sz w:val="24"/>
      <w:szCs w:val="24"/>
    </w:rPr>
  </w:style>
  <w:style w:styleId="Title" w:type="paragraph">
    <w:name w:val="Title"/>
    <w:basedOn w:val="Normal"/>
    <w:next w:val="Authors"/>
    <w:qFormat/>
    <w:pPr>
      <w:jc w:val="center"/>
      <w:spacing w:after="160" w:line="360" w:lineRule="auto"/>
    </w:pPr>
    <w:rPr>
      <w:b/>
      <w:bCs/>
      <w:rFonts w:ascii="Times New Roman" w:cs="Times New Roman" w:eastAsia="Times New Roman" w:hAnsi="Times New Roman"/>
      <w:sz w:val="36"/>
      <w:szCs w:val="36"/>
    </w:rPr>
  </w:style>
  <w:style w:styleId="Authors" w:type="paragraph">
    <w:name w:val="Authors"/>
    <w:basedOn w:val="Normal"/>
    <w:next w:val="Affiliations"/>
    <w:qFormat/>
    <w:pPr>
      <w:jc w:val="left"/>
      <w:spacing w:after="80" w:line="360" w:lineRule="auto"/>
    </w:pPr>
    <w:rPr>
      <w:rFonts w:ascii="Times New Roman" w:cs="Times New Roman" w:eastAsia="Times New Roman" w:hAnsi="Times New Roman"/>
      <w:sz w:val="24"/>
      <w:szCs w:val="24"/>
    </w:rPr>
  </w:style>
  <w:style w:styleId="Affiliations" w:type="paragraph">
    <w:name w:val="Affiliations"/>
    <w:basedOn w:val="Normal"/>
    <w:next w:val="CorrespondingAuthor"/>
    <w:qFormat/>
    <w:pPr>
      <w:jc w:val="left"/>
      <w:spacing w:after="80" w:line="360" w:lineRule="auto"/>
    </w:pPr>
    <w:rPr>
      <w:rFonts w:ascii="Times New Roman" w:cs="Times New Roman" w:eastAsia="Times New Roman" w:hAnsi="Times New Roman"/>
      <w:sz w:val="22"/>
      <w:szCs w:val="22"/>
    </w:rPr>
  </w:style>
  <w:style w:styleId="CorrespondingAuthor" w:type="paragraph">
    <w:name w:val="Corresponding Author"/>
    <w:basedOn w:val="Normal"/>
    <w:next w:val="Normal"/>
    <w:qFormat/>
    <w:pPr>
      <w:jc w:val="left"/>
      <w:spacing w:after="160" w:line="360" w:lineRule="auto"/>
    </w:pPr>
    <w:rPr>
      <w:i/>
      <w:iCs/>
      <w:rFonts w:ascii="Times New Roman" w:cs="Times New Roman" w:eastAsia="Times New Roman" w:hAnsi="Times New Roman"/>
      <w:sz w:val="22"/>
      <w:szCs w:val="22"/>
    </w:rPr>
  </w:style>
  <w:style w:styleId="FirstParagraph" w:type="paragraph">
    <w:name w:val="First Paragraph"/>
    <w:basedOn w:val="Normal"/>
    <w:next w:val="Normal"/>
    <w:qFormat/>
    <w:pPr>
      <w:jc w:val="both"/>
      <w:spacing w:after="120" w:line="480" w:lineRule="auto"/>
    </w:pPr>
    <w:rPr>
      <w:rFonts w:ascii="Times New Roman" w:cs="Times New Roman" w:eastAsia="Times New Roman" w:hAnsi="Times New Roman"/>
      <w:sz w:val="24"/>
      <w:szCs w:val="24"/>
    </w:rPr>
  </w:style>
  <w:style w:styleId="Abstract" w:type="paragraph">
    <w:name w:val="Abstract"/>
    <w:basedOn w:val="Normal"/>
    <w:next w:val="Keywords"/>
    <w:qFormat/>
    <w:pPr>
      <w:jc w:val="both"/>
      <w:spacing w:after="120" w:line="480" w:lineRule="auto"/>
    </w:pPr>
    <w:rPr>
      <w:rFonts w:ascii="Times New Roman" w:cs="Times New Roman" w:eastAsia="Times New Roman" w:hAnsi="Times New Roman"/>
      <w:sz w:val="24"/>
      <w:szCs w:val="24"/>
    </w:rPr>
  </w:style>
  <w:style w:styleId="Keywords" w:type="paragraph">
    <w:name w:val="Keywords"/>
    <w:basedOn w:val="Normal"/>
    <w:next w:val="Normal"/>
    <w:qFormat/>
    <w:pPr>
      <w:jc w:val="both"/>
      <w:spacing w:after="160" w:line="480" w:lineRule="auto"/>
    </w:pPr>
    <w:rPr>
      <w:rFonts w:ascii="Times New Roman" w:cs="Times New Roman" w:eastAsia="Times New Roman" w:hAnsi="Times New Roman"/>
      <w:sz w:val="24"/>
      <w:szCs w:val="24"/>
    </w:rPr>
  </w:style>
  <w:style w:styleId="Heading1" w:type="paragraph">
    <w:name w:val="Heading 1"/>
    <w:basedOn w:val="Normal"/>
    <w:next w:val="Normal"/>
    <w:qFormat/>
    <w:pPr>
      <w:numPr>
        <w:ilvl w:val="0"/>
        <w:numId w:val="1001"/>
      </w:numPr>
      <w:jc w:val="left"/>
      <w:spacing w:after="160" w:line="360" w:lineRule="auto"/>
      <w:outlineLvl w:val="0"/>
      <w:ind w:left="0" w:hanging="0"/>
    </w:pPr>
    <w:rPr>
      <w:b/>
      <w:bCs/>
      <w:rFonts w:ascii="Times New Roman" w:cs="Times New Roman" w:eastAsia="Times New Roman" w:hAnsi="Times New Roman"/>
      <w:sz w:val="32"/>
      <w:szCs w:val="32"/>
    </w:rPr>
  </w:style>
  <w:style w:styleId="Heading2" w:type="paragraph">
    <w:name w:val="Heading 2"/>
    <w:basedOn w:val="Normal"/>
    <w:next w:val="Normal"/>
    <w:qFormat/>
    <w:pPr>
      <w:numPr>
        <w:ilvl w:val="1"/>
        <w:numId w:val="1001"/>
      </w:numPr>
      <w:jc w:val="left"/>
      <w:spacing w:after="140" w:line="360" w:lineRule="auto"/>
      <w:outlineLvl w:val="1"/>
      <w:ind w:left="0" w:hanging="0"/>
    </w:pPr>
    <w:rPr>
      <w:b/>
      <w:bCs/>
      <w:rFonts w:ascii="Times New Roman" w:cs="Times New Roman" w:eastAsia="Times New Roman" w:hAnsi="Times New Roman"/>
      <w:sz w:val="28"/>
      <w:szCs w:val="28"/>
    </w:rPr>
  </w:style>
  <w:style w:styleId="Heading3" w:type="paragraph">
    <w:name w:val="Heading 3"/>
    <w:basedOn w:val="Normal"/>
    <w:next w:val="Normal"/>
    <w:qFormat/>
    <w:pPr>
      <w:numPr>
        <w:ilvl w:val="2"/>
        <w:numId w:val="1001"/>
      </w:numPr>
      <w:jc w:val="left"/>
      <w:spacing w:after="120" w:line="360" w:lineRule="auto"/>
      <w:outlineLvl w:val="2"/>
      <w:ind w:left="0" w:hanging="0"/>
    </w:pPr>
    <w:rPr>
      <w:b/>
      <w:bCs/>
      <w:rFonts w:ascii="Times New Roman" w:cs="Times New Roman" w:eastAsia="Times New Roman" w:hAnsi="Times New Roman"/>
      <w:sz w:val="24"/>
      <w:szCs w:val="24"/>
    </w:rPr>
  </w:style>
  <w:style w:styleId="Heading4" w:type="paragraph">
    <w:name w:val="Heading 4"/>
    <w:basedOn w:val="Normal"/>
    <w:next w:val="Normal"/>
    <w:qFormat/>
    <w:pPr>
      <w:numPr>
        <w:ilvl w:val="3"/>
        <w:numId w:val="1001"/>
      </w:numPr>
      <w:jc w:val="left"/>
      <w:spacing w:after="120" w:line="360" w:lineRule="auto"/>
      <w:outlineLvl w:val="3"/>
      <w:ind w:left="0" w:hanging="0"/>
    </w:pPr>
    <w:rPr>
      <w:i/>
      <w:iCs/>
      <w:rFonts w:ascii="Times New Roman" w:cs="Times New Roman" w:eastAsia="Times New Roman" w:hAnsi="Times New Roman"/>
      <w:sz w:val="24"/>
      <w:szCs w:val="24"/>
    </w:rPr>
  </w:style>
  <w:style w:styleId="Caption" w:type="paragraph">
    <w:name w:val="Caption"/>
    <w:basedOn w:val="Normal"/>
    <w:next w:val="Normal"/>
    <w:qFormat/>
    <w:pPr>
      <w:jc w:val="center"/>
      <w:spacing w:after="120" w:line="360" w:lineRule="auto"/>
      <w:ind w:left="0" w:hanging="0"/>
    </w:pPr>
    <w:rPr>
      <w:rFonts w:ascii="Times New Roman" w:cs="Times New Roman" w:eastAsia="Times New Roman" w:hAnsi="Times New Roman"/>
      <w:sz w:val="20"/>
      <w:szCs w:val="20"/>
      <w:i/>
      <w:iCs/>
    </w:rPr>
  </w:style>
  <w:style w:styleId="FigureCaption" w:type="paragraph">
    <w:name w:val="Figure Caption"/>
    <w:basedOn w:val="Caption"/>
    <w:next w:val="Normal"/>
    <w:qFormat/>
    <w:pPr>
      <w:jc w:val="center"/>
      <w:spacing w:after="120" w:line="360" w:lineRule="auto"/>
      <w:ind w:left="0" w:hanging="0"/>
    </w:pPr>
    <w:rPr>
      <w:rFonts w:ascii="Times New Roman" w:cs="Times New Roman" w:eastAsia="Times New Roman" w:hAnsi="Times New Roman"/>
      <w:sz w:val="20"/>
      <w:szCs w:val="20"/>
      <w:i/>
      <w:iCs/>
    </w:rPr>
  </w:style>
  <w:style w:styleId="TableCaption" w:type="paragraph">
    <w:name w:val="Table Caption"/>
    <w:basedOn w:val="Caption"/>
    <w:next w:val="TableText"/>
    <w:qFormat/>
    <w:pPr>
      <w:jc w:val="center"/>
      <w:spacing w:after="120" w:line="360" w:lineRule="auto"/>
      <w:ind w:left="0" w:hanging="0"/>
    </w:pPr>
    <w:rPr>
      <w:rFonts w:ascii="Times New Roman" w:cs="Times New Roman" w:eastAsia="Times New Roman" w:hAnsi="Times New Roman"/>
      <w:sz w:val="20"/>
      <w:szCs w:val="20"/>
      <w:i/>
      <w:iCs/>
    </w:rPr>
  </w:style>
  <w:style w:styleId="TableText" w:type="paragraph">
    <w:name w:val="Table Text"/>
    <w:basedOn w:val="Normal"/>
    <w:next w:val="TableText"/>
    <w:qFormat/>
    <w:pPr>
      <w:jc w:val="both"/>
      <w:spacing w:after="60" w:line="240" w:lineRule="auto"/>
    </w:pPr>
    <w:rPr>
      <w:rFonts w:ascii="Times New Roman" w:cs="Times New Roman" w:eastAsia="Times New Roman" w:hAnsi="Times New Roman"/>
      <w:sz w:val="18"/>
      <w:szCs w:val="18"/>
    </w:rPr>
  </w:style>
  <w:style w:styleId="Equation" w:type="paragraph">
    <w:name w:val="Equation"/>
    <w:basedOn w:val="Normal"/>
    <w:next w:val="Normal"/>
    <w:qFormat/>
    <w:pPr>
      <w:jc w:val="center"/>
      <w:spacing w:after="120" w:line="360" w:lineRule="auto"/>
    </w:pPr>
    <w:rPr>
      <w:rFonts w:ascii="Times New Roman" w:cs="Times New Roman" w:eastAsia="Times New Roman" w:hAnsi="Times New Roman"/>
      <w:sz w:val="24"/>
      <w:szCs w:val="24"/>
    </w:rPr>
  </w:style>
  <w:style w:styleId="EquationNumber" w:type="paragraph">
    <w:name w:val="Equation Number"/>
    <w:basedOn w:val="Normal"/>
    <w:next w:val="Normal"/>
    <w:qFormat/>
    <w:pPr>
      <w:jc w:val="right"/>
      <w:spacing w:after="120" w:line="360" w:lineRule="auto"/>
    </w:pPr>
    <w:rPr>
      <w:rFonts w:ascii="Times New Roman" w:cs="Times New Roman" w:eastAsia="Times New Roman" w:hAnsi="Times New Roman"/>
      <w:sz w:val="24"/>
      <w:szCs w:val="24"/>
    </w:rPr>
  </w:style>
  <w:style w:styleId="References" w:type="paragraph">
    <w:name w:val="References"/>
    <w:basedOn w:val="Normal"/>
    <w:next w:val="Bibliography"/>
    <w:qFormat/>
    <w:pPr>
      <w:jc w:val="left"/>
      <w:spacing w:after="160" w:line="360" w:lineRule="auto"/>
      <w:ind w:left="0" w:hanging="0"/>
    </w:pPr>
    <w:rPr>
      <w:b/>
      <w:bCs/>
      <w:rFonts w:ascii="Times New Roman" w:cs="Times New Roman" w:eastAsia="Times New Roman" w:hAnsi="Times New Roman"/>
      <w:sz w:val="32"/>
      <w:szCs w:val="32"/>
    </w:rPr>
  </w:style>
  <w:style w:styleId="Bibliography" w:type="paragraph">
    <w:name w:val="Bibliography"/>
    <w:basedOn w:val="Normal"/>
    <w:next w:val="Bibliography"/>
    <w:qFormat/>
    <w:pPr>
      <w:spacing w:after="0" w:line="240" w:lineRule="auto" w:before="0"/>
      <w:ind w:hanging="360" w:left="360"/>
      <w:jc w:val="left"/>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UnnumberedHeading">
    <w:name w:val="Unnumbered Heading"/>
    <w:basedOn w:val="Normal"/>
    <w:next w:val="Normal"/>
    <w:qFormat/>
    <w:pPr>
      <w:jc w:val="left"/>
      <w:spacing w:before="240" w:after="120" w:line="360" w:lineRule="auto"/>
      <w:ind w:left="0" w:hanging="0"/>
      <w:outlineLvl w:val="0"/>
    </w:pPr>
    <w:rPr>
      <w:rFonts w:ascii="Times New Roman" w:hAnsi="Times New Roman" w:eastAsia="Times New Roman" w:cs="Times New Roman"/>
      <w:b/>
      <w:bCs/>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rel:Relationships xmlns:rel="http://schemas.openxmlformats.org/package/2006/relationships"><rel:Relationship Type="http://schemas.openxmlformats.org/officeDocument/2006/relationships/numbering" Id="rId8" Target="numbering.xml" /><rel:Relationship Type="http://schemas.openxmlformats.org/officeDocument/2006/relationships/styles" Id="rId7" Target="styles.xml" /><rel:Relationship Type="http://schemas.openxmlformats.org/officeDocument/2006/relationships/settings" Id="rId6" Target="settings.xml" /><rel:Relationship Type="http://schemas.openxmlformats.org/officeDocument/2006/relationships/webSettings" Id="rId5" Target="webSettings.xml" /><rel:Relationship Type="http://schemas.openxmlformats.org/officeDocument/2006/relationships/fontTable" Id="rId4" Target="fontTable.xml" /><rel:Relationship Type="http://schemas.openxmlformats.org/officeDocument/2006/relationships/theme" Id="rId3" Target="theme/theme1.xml" /><rel:Relationship Type="http://schemas.openxmlformats.org/officeDocument/2006/relationships/footnotes" Id="rId2" Target="footnotes.xml" /><rel:Relationship Type="http://schemas.openxmlformats.org/officeDocument/2006/relationships/comments" Id="rId1" Target="comments.xml" /><rel:Relationship Type="http://schemas.openxmlformats.org/officeDocument/2006/relationships/image" Id="rId19" Target="media/rId19.png" /><rel:Relationship Type="http://schemas.openxmlformats.org/officeDocument/2006/relationships/image" Id="rId43" Target="media/rId43.png" /><rel:Relationship Type="http://schemas.openxmlformats.org/officeDocument/2006/relationships/image" Id="rId13" Target="media/rId13.png" /><rel:Relationship Type="http://schemas.openxmlformats.org/officeDocument/2006/relationships/image" Id="rId73" Target="media/rId73.png" /><rel:Relationship Type="http://schemas.openxmlformats.org/officeDocument/2006/relationships/image" Id="rId79" Target="media/rId79.png" /><rel:Relationship Type="http://schemas.openxmlformats.org/officeDocument/2006/relationships/image" Id="rId84" Target="media/rId84.png" /><rel:Relationship Type="http://schemas.openxmlformats.org/officeDocument/2006/relationships/image" Id="rId89" Target="media/rId89.png" /><rel:Relationship Type="http://schemas.openxmlformats.org/officeDocument/2006/relationships/image" Id="rId23" Target="media/rId23.png" /><rel:Relationship Type="http://schemas.openxmlformats.org/officeDocument/2006/relationships/image" Id="rId28" Target="media/rId28.png" /><rel:Relationship Type="http://schemas.openxmlformats.org/officeDocument/2006/relationships/image" Id="rId34" Target="media/rId34.png" /><rel:Relationship Type="http://schemas.openxmlformats.org/officeDocument/2006/relationships/image" Id="rId56" Target="media/rId56.png" /><rel:Relationship Type="http://schemas.openxmlformats.org/officeDocument/2006/relationships/image" Id="rId64" Target="media/rId64.png" /><rel:Relationship Type="http://schemas.openxmlformats.org/officeDocument/2006/relationships/image" Id="rId69" Target="media/rId69.png" /><rel:Relationship Type="http://schemas.openxmlformats.org/officeDocument/2006/relationships/hyperlink" Id="rId33" Target="http://116.10.197.212:9060/spore/#/" TargetMode="External" /><rel:Relationship Type="http://schemas.openxmlformats.org/officeDocument/2006/relationships/hyperlink" Id="rId106" Target="https://doi.org/10.1017/S0021859600073275" TargetMode="External" /><rel:Relationship Type="http://schemas.openxmlformats.org/officeDocument/2006/relationships/hyperlink" Id="rId107" Target="https://doi.org/10.3390/microorganisms13061279" TargetMode="External" /><rel:Relationship Type="http://schemas.openxmlformats.org/officeDocument/2006/relationships/hyperlink" Id="rId104" Target="https://github.com/SmartAG-Team/grape_disease.git" TargetMode="External" /><rel:Relationship Type="http://schemas.openxmlformats.org/officeDocument/2006/relationships/hyperlink" Id="rId39" Target="https://open-meteo.com/" TargetMode="External" /><rel:Relationship Type="http://schemas.openxmlformats.org/officeDocument/2006/relationships/hyperlink" Id="rId10" Target="mailto:qujunjie@gxaas.net" TargetMode="External" /><rel:Relationship Type="http://schemas.openxmlformats.org/officeDocument/2006/relationships/hyperlink" Id="rId9" Target="mailto:yuq@nwafu.edu.cn" TargetMode="External" /><rel:Relationship Id="rId108" Type="http://schemas.openxmlformats.org/officeDocument/2006/relationships/footer" Target="footer1.xml" /></rel:Relationships>
</file>

<file path=word/_rels/footnotes.xml.rels><?xml version="1.0" encoding="UTF-8"?><Relationships xmlns="http://schemas.openxmlformats.org/package/2006/relationships"><Relationship Type="http://schemas.openxmlformats.org/officeDocument/2006/relationships/hyperlink" Id="rId33" Target="http://116.10.197.212:9060/spore/#/" TargetMode="External" /><Relationship Type="http://schemas.openxmlformats.org/officeDocument/2006/relationships/hyperlink" Id="rId106" Target="https://doi.org/10.1017/S0021859600073275" TargetMode="External" /><Relationship Type="http://schemas.openxmlformats.org/officeDocument/2006/relationships/hyperlink" Id="rId107" Target="https://doi.org/10.3390/microorganisms13061279" TargetMode="External" /><Relationship Type="http://schemas.openxmlformats.org/officeDocument/2006/relationships/hyperlink" Id="rId104" Target="https://github.com/SmartAG-Team/grape_disease.git" TargetMode="External" /><Relationship Type="http://schemas.openxmlformats.org/officeDocument/2006/relationships/hyperlink" Id="rId39" Target="https://open-meteo.com/" TargetMode="External" /><Relationship Type="http://schemas.openxmlformats.org/officeDocument/2006/relationships/hyperlink" Id="rId10" Target="mailto:qujunjie@gxaas.net" TargetMode="External" /><Relationship Type="http://schemas.openxmlformats.org/officeDocument/2006/relationships/hyperlink" Id="rId9" Target="mailto:yuq@nwafu.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docx_pipeline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Spore-informed agroclimatic modelling improves the timing of grapevine downy mildew management in subtropical vineyards</dc:title>
  <dc:creator/>
  <cp:keywords/>
  <dcterms:created xsi:type="dcterms:W3CDTF">2026-09-07T07:21:26Z</dcterms:created>
  <dcterms:modified xsi:type="dcterms:W3CDTF">2026-09-07T07:21:26Z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True</vt:lpwstr>
  </property>
  <property fmtid="{D5CDD505-2E9C-101B-9397-08002B2CF9AE}" pid="3" name="chapters">
    <vt:lpwstr>False</vt:lpwstr>
  </property>
  <property fmtid="{D5CDD505-2E9C-101B-9397-08002B2CF9AE}" pid="4" name="classoption">
    <vt:lpwstr/>
  </property>
  <property fmtid="{D5CDD505-2E9C-101B-9397-08002B2CF9AE}" pid="5" name="date">
    <vt:lpwstr/>
  </property>
  <property fmtid="{D5CDD505-2E9C-101B-9397-08002B2CF9AE}" pid="6" name="documentclass">
    <vt:lpwstr>elsarticle</vt:lpwstr>
  </property>
  <property fmtid="{D5CDD505-2E9C-101B-9397-08002B2CF9AE}" pid="7" name="eqnPrefix">
    <vt:lpwstr/>
  </property>
  <property fmtid="{D5CDD505-2E9C-101B-9397-08002B2CF9AE}" pid="8" name="figPrefix">
    <vt:lpwstr/>
  </property>
  <property fmtid="{D5CDD505-2E9C-101B-9397-08002B2CF9AE}" pid="9" name="fontsize">
    <vt:lpwstr>12pt</vt:lpwstr>
  </property>
  <property fmtid="{D5CDD505-2E9C-101B-9397-08002B2CF9AE}" pid="10" name="linestretch">
    <vt:lpwstr>2</vt:lpwstr>
  </property>
  <property fmtid="{D5CDD505-2E9C-101B-9397-08002B2CF9AE}" pid="11" name="link-citations">
    <vt:lpwstr>False</vt:lpwstr>
  </property>
  <property fmtid="{D5CDD505-2E9C-101B-9397-08002B2CF9AE}" pid="12" name="nameInLink">
    <vt:lpwstr>True</vt:lpwstr>
  </property>
  <property fmtid="{D5CDD505-2E9C-101B-9397-08002B2CF9AE}" pid="13" name="number-sections">
    <vt:lpwstr>True</vt:lpwstr>
  </property>
  <property fmtid="{D5CDD505-2E9C-101B-9397-08002B2CF9AE}" pid="14" name="papersize">
    <vt:lpwstr>a4</vt:lpwstr>
  </property>
  <property fmtid="{D5CDD505-2E9C-101B-9397-08002B2CF9AE}" pid="15" name="reference-section-title">
    <vt:lpwstr>References</vt:lpwstr>
  </property>
  <property fmtid="{D5CDD505-2E9C-101B-9397-08002B2CF9AE}" pid="16" name="secnumdepth">
    <vt:lpwstr>4</vt:lpwstr>
  </property>
  <property fmtid="{D5CDD505-2E9C-101B-9397-08002B2CF9AE}" pid="17" name="tableEqns">
    <vt:lpwstr>True</vt:lpwstr>
  </property>
  <property fmtid="{D5CDD505-2E9C-101B-9397-08002B2CF9AE}" pid="18" name="tblPrefix">
    <vt:lpwstr/>
  </property>
</Properties>
</file>