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Process-based modelling of grapevine downy mildew symptom onset and potential fungicide savings in subtropical double-cropping vineyards</w:t>
      </w:r>
    </w:p>
    <w:p>
      <w:pPr>
        <w:spacing w:after="360"/>
      </w:pPr>
      <w:r>
        <w:rPr>
          <w:sz w:val="22"/>
        </w:rPr>
        <w:t>Linjia Yao</w:t>
      </w:r>
      <w:r>
        <w:rPr>
          <w:sz w:val="22"/>
        </w:rPr>
        <w:t>, Bin Chen</w:t>
      </w:r>
      <w:r>
        <w:rPr>
          <w:sz w:val="22"/>
        </w:rPr>
        <w:t>, Vittorio Rossi</w:t>
      </w:r>
      <w:r>
        <w:rPr>
          <w:sz w:val="22"/>
        </w:rPr>
        <w:t>, Ling Yin</w:t>
      </w:r>
      <w:r>
        <w:rPr>
          <w:sz w:val="22"/>
        </w:rPr>
        <w:t>, Shumei Wei</w:t>
      </w:r>
      <w:r>
        <w:rPr>
          <w:sz w:val="22"/>
        </w:rPr>
        <w:t>, Qi Tian</w:t>
      </w:r>
      <w:r>
        <w:rPr>
          <w:sz w:val="22"/>
        </w:rPr>
        <w:t>, Changqing Yan</w:t>
      </w:r>
      <w:r>
        <w:rPr>
          <w:sz w:val="22"/>
        </w:rPr>
        <w:t>, Hui Wang</w:t>
      </w:r>
      <w:r>
        <w:rPr>
          <w:sz w:val="22"/>
        </w:rPr>
        <w:t>, Antonio Fernandes Nogueira Júnior</w:t>
      </w:r>
      <w:r>
        <w:rPr>
          <w:sz w:val="22"/>
        </w:rPr>
        <w:t>, Yu Huang</w:t>
      </w:r>
      <w:r>
        <w:rPr>
          <w:sz w:val="22"/>
        </w:rPr>
        <w:t>, Qiang Yu</w:t>
      </w:r>
      <w:r>
        <w:rPr>
          <w:sz w:val="22"/>
          <w:vertAlign w:val="superscript"/>
        </w:rPr>
        <w:t>*</w:t>
      </w:r>
      <w:r>
        <w:rPr>
          <w:sz w:val="22"/>
        </w:rPr>
        <w:t>, Junjie Qu</w:t>
      </w:r>
      <w:r>
        <w:rPr>
          <w:sz w:val="22"/>
          <w:vertAlign w:val="superscript"/>
        </w:rPr>
        <w:t>*</w:t>
      </w:r>
      <w:r>
        <w:rPr>
          <w:sz w:val="22"/>
        </w:rPr>
        <w:t>, Gang Zhao</w:t>
      </w:r>
      <w:r>
        <w:rPr>
          <w:sz w:val="22"/>
          <w:vertAlign w:val="superscript"/>
        </w:rPr>
        <w:t>*</w:t>
      </w:r>
    </w:p>
    <w:p>
      <w:r>
        <w:t>Integrating spore monitoring reduced grapevine downy mildew onset prediction error by 32.4%; regional simulations mapped onset timing and potential savings in early fungicide applications across subtropical vineyards.</w:t>
      </w:r>
    </w:p>
    <w:p>
      <w:pPr>
        <w:spacing w:before="120"/>
      </w:pPr>
      <w:r>
        <w:rPr>
          <w:sz w:val="20"/>
        </w:rPr>
        <w:t>* Corresponding authors: Qiang Yu, Junjie Qu and Gang Zhao.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24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64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Process-based modelling of grapevine downy mildew symptom onset and potential fungicide savings in subtropical double-cropping vineyards</dc:title>
  <dc:subject>Graphical Abstract Text</dc:subject>
  <dc:creator>Linjia Yao et al.</dc:creator>
  <cp:keywords>grapevine downy mildew; graphical abstract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