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3364"/>
        <w:gridCol w:w="3364"/>
        <w:gridCol w:w="3364"/>
      </w:tblGrid>
      <w:tr>
        <w:tc>
          <w:tcPr>
            <w:tcW w:type="dxa" w:w="3364"/>
          </w:tcPr>
          <w:p>
            <w:r>
              <w:drawing>
                <wp:inline xmlns:a="http://schemas.openxmlformats.org/drawingml/2006/main" xmlns:pic="http://schemas.openxmlformats.org/drawingml/2006/picture">
                  <wp:extent cx="864000" cy="576000"/>
                  <wp:docPr id="1" name="Picture 1"/>
                  <wp:cNvGraphicFramePr>
                    <a:graphicFrameLocks noChangeAspect="1"/>
                  </wp:cNvGraphicFramePr>
                  <a:graphic>
                    <a:graphicData uri="http://schemas.openxmlformats.org/drawingml/2006/picture">
                      <pic:pic>
                        <pic:nvPicPr>
                          <pic:cNvPr id="0" name="logo-necs.jpg"/>
                          <pic:cNvPicPr/>
                        </pic:nvPicPr>
                        <pic:blipFill>
                          <a:blip r:embed="rId9"/>
                          <a:stretch>
                            <a:fillRect/>
                          </a:stretch>
                        </pic:blipFill>
                        <pic:spPr>
                          <a:xfrm>
                            <a:off x="0" y="0"/>
                            <a:ext cx="864000" cy="576000"/>
                          </a:xfrm>
                          <a:prstGeom prst="rect"/>
                        </pic:spPr>
                      </pic:pic>
                    </a:graphicData>
                  </a:graphic>
                </wp:inline>
              </w:drawing>
            </w:r>
          </w:p>
        </w:tc>
        <w:tc>
          <w:tcPr>
            <w:tcW w:type="dxa" w:w="3364"/>
          </w:tcPr>
          <w:p>
            <w:r/>
            <w:r>
              <w:rPr>
                <w:rFonts w:ascii="Calibri" w:hAnsi="Calibri" w:eastAsia="Calibri"/>
                <w:b/>
                <w:color w:val="0A3D7A"/>
                <w:sz w:val="36"/>
              </w:rPr>
              <w:t>NECS</w:t>
            </w:r>
          </w:p>
          <w:p>
            <w:r>
              <w:rPr>
                <w:rFonts w:ascii="Calibri" w:hAnsi="Calibri" w:eastAsia="Calibri"/>
                <w:b/>
                <w:color w:val="0F1720"/>
                <w:sz w:val="20"/>
              </w:rPr>
              <w:t>NECLEANING &amp; SERVICES SARL</w:t>
            </w:r>
          </w:p>
          <w:p>
            <w:r>
              <w:rPr>
                <w:rFonts w:ascii="Calibri" w:hAnsi="Calibri" w:eastAsia="Calibri"/>
                <w:b w:val="0"/>
                <w:color w:val="6B7A8D"/>
                <w:sz w:val="18"/>
              </w:rPr>
              <w:t>Propreté · Rigueur · Confiance</w:t>
            </w:r>
          </w:p>
          <w:p>
            <w:r>
              <w:rPr>
                <w:rFonts w:ascii="Calibri" w:hAnsi="Calibri" w:eastAsia="Calibri"/>
                <w:b w:val="0"/>
                <w:color w:val="3D4A5C"/>
                <w:sz w:val="16"/>
              </w:rPr>
              <w:t>Siège : [Adresse — Cameroun]  |  Tél. : [+237 …]  |  Email : contact@necs.cm</w:t>
            </w:r>
          </w:p>
        </w:tc>
        <w:tc>
          <w:tcPr>
            <w:tcW w:type="dxa" w:w="3364"/>
          </w:tcPr>
          <w:p>
            <w:pPr>
              <w:jc w:val="right"/>
            </w:pPr>
            <w:r/>
            <w:r>
              <w:rPr>
                <w:rFonts w:ascii="Calibri" w:hAnsi="Calibri" w:eastAsia="Calibri"/>
                <w:b/>
                <w:color w:val="2D8A2E"/>
                <w:sz w:val="24"/>
              </w:rPr>
              <w:t>DEVIS</w:t>
            </w:r>
          </w:p>
          <w:p>
            <w:pPr>
              <w:jc w:val="right"/>
            </w:pPr>
            <w:r>
              <w:rPr>
                <w:rFonts w:ascii="Calibri" w:hAnsi="Calibri" w:eastAsia="Calibri"/>
                <w:b/>
                <w:color w:val="0A3D7A"/>
                <w:sz w:val="20"/>
              </w:rPr>
              <w:t>NECS-DEV-2026-0142</w:t>
            </w:r>
          </w:p>
          <w:p>
            <w:pPr>
              <w:jc w:val="right"/>
            </w:pPr>
            <w:r>
              <w:rPr>
                <w:rFonts w:ascii="Calibri" w:hAnsi="Calibri" w:eastAsia="Calibri"/>
                <w:b w:val="0"/>
                <w:color w:val="3D4A5C"/>
                <w:sz w:val="18"/>
              </w:rPr>
              <w:t>Date : 10 mars 2026</w:t>
            </w:r>
          </w:p>
          <w:p>
            <w:pPr>
              <w:jc w:val="right"/>
            </w:pPr>
            <w:r>
              <w:rPr>
                <w:rFonts w:ascii="Calibri" w:hAnsi="Calibri" w:eastAsia="Calibri"/>
                <w:b w:val="0"/>
                <w:color w:val="3D4A5C"/>
                <w:sz w:val="18"/>
              </w:rPr>
              <w:t>Validité : 30 jours</w:t>
            </w:r>
          </w:p>
          <w:p>
            <w:pPr>
              <w:jc w:val="right"/>
            </w:pPr>
            <w:r>
              <w:rPr>
                <w:rFonts w:ascii="Calibri" w:hAnsi="Calibri" w:eastAsia="Calibri"/>
                <w:b w:val="0"/>
                <w:color w:val="3D4A5C"/>
                <w:sz w:val="18"/>
              </w:rPr>
              <w:t>Version : 1.0</w:t>
            </w:r>
          </w:p>
        </w:tc>
      </w:tr>
    </w:tbl>
    <w:p>
      <w:pPr>
        <w:spacing w:before="40" w:after="160"/>
        <w:pBdr>
          <w:bottom w:val="single" w:sz="18" w:space="1" w:color="0A3D7A"/>
        </w:pBdr>
      </w:pPr>
    </w:p>
    <w:p>
      <w:pPr>
        <w:spacing w:after="200" w:before="0"/>
        <w:jc w:val="center"/>
      </w:pPr>
      <w:r>
        <w:rPr>
          <w:rFonts w:ascii="Calibri" w:hAnsi="Calibri" w:eastAsia="Calibri"/>
          <w:b/>
          <w:color w:val="2D8A2E"/>
          <w:sz w:val="18"/>
        </w:rPr>
        <w:t>SPÉCIMEN — DOCUMENT DE VALIDATION CLIENT</w:t>
      </w:r>
    </w:p>
    <w:p>
      <w:pPr>
        <w:spacing w:after="120" w:before="0"/>
        <w:jc w:val="center"/>
      </w:pPr>
      <w:r>
        <w:rPr>
          <w:rFonts w:ascii="Calibri" w:hAnsi="Calibri" w:eastAsia="Calibri"/>
          <w:b/>
          <w:color w:val="0A3D7A"/>
          <w:sz w:val="28"/>
        </w:rPr>
        <w:t>Proposition tarifaire de prestations de nettoyage</w:t>
      </w:r>
    </w:p>
    <w:p>
      <w:pPr>
        <w:spacing w:after="120" w:before="0"/>
        <w:jc w:val="both"/>
      </w:pPr>
      <w:r>
        <w:rPr>
          <w:rFonts w:ascii="Calibri" w:hAnsi="Calibri" w:eastAsia="Calibri"/>
          <w:b w:val="0"/>
          <w:color w:val="0F1720"/>
          <w:sz w:val="20"/>
        </w:rPr>
        <w:t>Nous avons le plaisir de vous adresser le présent devis, établi sur la base de votre besoin et de nos standards de qualité NECS. Les montants sont exprimés en FCFA (XAF), hors taxes applicables.</w:t>
      </w:r>
    </w:p>
    <w:tbl>
      <w:tblPr>
        <w:tblStyle w:val="TableGrid"/>
        <w:tblW w:type="auto" w:w="0"/>
        <w:tblLook w:firstColumn="1" w:firstRow="1" w:lastColumn="0" w:lastRow="0" w:noHBand="0" w:noVBand="1" w:val="04A0"/>
      </w:tblPr>
      <w:tblGrid>
        <w:gridCol w:w="5046"/>
        <w:gridCol w:w="5046"/>
      </w:tblGrid>
      <w:tr>
        <w:tc>
          <w:tcPr>
            <w:tcW w:type="dxa" w:w="5046"/>
            <w:shd w:fill="F7FAFC" w:val="clear"/>
          </w:tcPr>
          <w:p>
            <w:r/>
            <w:r>
              <w:rPr>
                <w:rFonts w:ascii="Calibri" w:hAnsi="Calibri" w:eastAsia="Calibri"/>
                <w:b/>
                <w:color w:val="0A3D7A"/>
                <w:sz w:val="18"/>
              </w:rPr>
              <w:t>ÉMETTEUR</w:t>
            </w:r>
          </w:p>
          <w:p>
            <w:r>
              <w:rPr>
                <w:rFonts w:ascii="Calibri" w:hAnsi="Calibri" w:eastAsia="Calibri"/>
                <w:b/>
                <w:color w:val="0F1720"/>
                <w:sz w:val="20"/>
              </w:rPr>
              <w:t>NECS / NECLEANING &amp; SERVICES SARL</w:t>
            </w:r>
          </w:p>
          <w:p>
            <w:r>
              <w:rPr>
                <w:rFonts w:ascii="Calibri" w:hAnsi="Calibri" w:eastAsia="Calibri"/>
                <w:b w:val="0"/>
                <w:color w:val="0F1720"/>
                <w:sz w:val="20"/>
              </w:rPr>
              <w:t>Service Commercial &amp; Chiffrage</w:t>
            </w:r>
          </w:p>
          <w:p>
            <w:r>
              <w:rPr>
                <w:rFonts w:ascii="Calibri" w:hAnsi="Calibri" w:eastAsia="Calibri"/>
                <w:b w:val="0"/>
                <w:color w:val="0F1720"/>
                <w:sz w:val="20"/>
              </w:rPr>
              <w:t>Réf. opportunité : OPP-2026-0087</w:t>
            </w:r>
          </w:p>
          <w:p>
            <w:r>
              <w:rPr>
                <w:rFonts w:ascii="Calibri" w:hAnsi="Calibri" w:eastAsia="Calibri"/>
                <w:b w:val="0"/>
                <w:color w:val="0F1720"/>
                <w:sz w:val="20"/>
              </w:rPr>
              <w:t>Commercial : Mme A. MBARGA</w:t>
            </w:r>
          </w:p>
        </w:tc>
        <w:tc>
          <w:tcPr>
            <w:tcW w:type="dxa" w:w="5046"/>
            <w:shd w:fill="F7FAFC" w:val="clear"/>
          </w:tcPr>
          <w:p>
            <w:r/>
            <w:r>
              <w:rPr>
                <w:rFonts w:ascii="Calibri" w:hAnsi="Calibri" w:eastAsia="Calibri"/>
                <w:b/>
                <w:color w:val="0A3D7A"/>
                <w:sz w:val="18"/>
              </w:rPr>
              <w:t>DESTINATAIRE / CLIENT</w:t>
            </w:r>
          </w:p>
          <w:p>
            <w:r>
              <w:rPr>
                <w:rFonts w:ascii="Calibri" w:hAnsi="Calibri" w:eastAsia="Calibri"/>
                <w:b/>
                <w:color w:val="0F1720"/>
                <w:sz w:val="20"/>
              </w:rPr>
              <w:t>SOCIÉTÉ EXEMPLE SA</w:t>
            </w:r>
          </w:p>
          <w:p>
            <w:r>
              <w:rPr>
                <w:rFonts w:ascii="Calibri" w:hAnsi="Calibri" w:eastAsia="Calibri"/>
                <w:b w:val="0"/>
                <w:color w:val="0F1720"/>
                <w:sz w:val="20"/>
              </w:rPr>
              <w:t>À l’attention de : M. Jean OKALA — Achats</w:t>
            </w:r>
          </w:p>
          <w:p>
            <w:r>
              <w:rPr>
                <w:rFonts w:ascii="Calibri" w:hAnsi="Calibri" w:eastAsia="Calibri"/>
                <w:b w:val="0"/>
                <w:color w:val="0F1720"/>
                <w:sz w:val="20"/>
              </w:rPr>
              <w:t>Immeuble Horizon, Douala</w:t>
            </w:r>
          </w:p>
          <w:p>
            <w:r>
              <w:rPr>
                <w:rFonts w:ascii="Calibri" w:hAnsi="Calibri" w:eastAsia="Calibri"/>
                <w:b w:val="0"/>
                <w:color w:val="0F1720"/>
                <w:sz w:val="20"/>
              </w:rPr>
              <w:t>achats@exemple.cm</w:t>
            </w:r>
          </w:p>
        </w:tc>
      </w:tr>
    </w:tbl>
    <w:p/>
    <w:tbl>
      <w:tblPr>
        <w:tblStyle w:val="TableGrid"/>
        <w:tblW w:type="auto" w:w="0"/>
        <w:tblLook w:firstColumn="1" w:firstRow="1" w:lastColumn="0" w:lastRow="0" w:noHBand="0" w:noVBand="1" w:val="04A0"/>
      </w:tblPr>
      <w:tblGrid>
        <w:gridCol w:w="5046"/>
        <w:gridCol w:w="5046"/>
      </w:tblGrid>
      <w:tr>
        <w:tc>
          <w:tcPr>
            <w:tcW w:type="dxa" w:w="5046"/>
          </w:tcPr>
          <w:p>
            <w:r/>
            <w:r>
              <w:rPr>
                <w:rFonts w:ascii="Calibri" w:hAnsi="Calibri" w:eastAsia="Calibri"/>
                <w:b/>
                <w:color w:val="6B7A8D"/>
                <w:sz w:val="16"/>
              </w:rPr>
              <w:t>OBJET</w:t>
              <w:br/>
            </w:r>
            <w:r>
              <w:rPr>
                <w:rFonts w:ascii="Calibri" w:hAnsi="Calibri" w:eastAsia="Calibri"/>
                <w:b/>
                <w:color w:val="0F1720"/>
                <w:sz w:val="20"/>
              </w:rPr>
              <w:t>Entretien courant bureaux &amp; sanitaires</w:t>
            </w:r>
          </w:p>
        </w:tc>
        <w:tc>
          <w:tcPr>
            <w:tcW w:type="dxa" w:w="5046"/>
          </w:tcPr>
          <w:p>
            <w:r/>
            <w:r>
              <w:rPr>
                <w:rFonts w:ascii="Calibri" w:hAnsi="Calibri" w:eastAsia="Calibri"/>
                <w:b/>
                <w:color w:val="6B7A8D"/>
                <w:sz w:val="16"/>
              </w:rPr>
              <w:t>PÉRIODICITÉ</w:t>
              <w:br/>
            </w:r>
            <w:r>
              <w:rPr>
                <w:rFonts w:ascii="Calibri" w:hAnsi="Calibri" w:eastAsia="Calibri"/>
                <w:b/>
                <w:color w:val="0F1720"/>
                <w:sz w:val="20"/>
              </w:rPr>
              <w:t>5 j/sem · 22 jours ouvrés / mois</w:t>
            </w:r>
          </w:p>
        </w:tc>
      </w:tr>
      <w:tr>
        <w:tc>
          <w:tcPr>
            <w:tcW w:type="dxa" w:w="5046"/>
          </w:tcPr>
          <w:p>
            <w:r/>
            <w:r>
              <w:rPr>
                <w:rFonts w:ascii="Calibri" w:hAnsi="Calibri" w:eastAsia="Calibri"/>
                <w:b/>
                <w:color w:val="6B7A8D"/>
                <w:sz w:val="16"/>
              </w:rPr>
              <w:t>SURFACE ESTIMÉE</w:t>
              <w:br/>
            </w:r>
            <w:r>
              <w:rPr>
                <w:rFonts w:ascii="Calibri" w:hAnsi="Calibri" w:eastAsia="Calibri"/>
                <w:b/>
                <w:color w:val="0F1720"/>
                <w:sz w:val="20"/>
              </w:rPr>
              <w:t>1 850 m²</w:t>
            </w:r>
          </w:p>
        </w:tc>
        <w:tc>
          <w:tcPr>
            <w:tcW w:type="dxa" w:w="5046"/>
          </w:tcPr>
          <w:p>
            <w:r/>
            <w:r>
              <w:rPr>
                <w:rFonts w:ascii="Calibri" w:hAnsi="Calibri" w:eastAsia="Calibri"/>
                <w:b/>
                <w:color w:val="6B7A8D"/>
                <w:sz w:val="16"/>
              </w:rPr>
              <w:t>NIVEAU DE SERVICE</w:t>
              <w:br/>
            </w:r>
            <w:r>
              <w:rPr>
                <w:rFonts w:ascii="Calibri" w:hAnsi="Calibri" w:eastAsia="Calibri"/>
                <w:b/>
                <w:color w:val="0F1720"/>
                <w:sz w:val="20"/>
              </w:rPr>
              <w:t>Premium · SLA ≥ 85/100</w:t>
            </w:r>
          </w:p>
        </w:tc>
      </w:tr>
      <w:tr>
        <w:tc>
          <w:tcPr>
            <w:tcW w:type="dxa" w:w="5046"/>
          </w:tcPr>
          <w:p>
            <w:r/>
            <w:r>
              <w:rPr>
                <w:rFonts w:ascii="Calibri" w:hAnsi="Calibri" w:eastAsia="Calibri"/>
                <w:b/>
                <w:color w:val="6B7A8D"/>
                <w:sz w:val="16"/>
              </w:rPr>
              <w:t>DÉMARRAGE INDICATIF</w:t>
              <w:br/>
            </w:r>
            <w:r>
              <w:rPr>
                <w:rFonts w:ascii="Calibri" w:hAnsi="Calibri" w:eastAsia="Calibri"/>
                <w:b/>
                <w:color w:val="0F1720"/>
                <w:sz w:val="20"/>
              </w:rPr>
              <w:t>01 avril 2026</w:t>
            </w:r>
          </w:p>
        </w:tc>
        <w:tc>
          <w:tcPr>
            <w:tcW w:type="dxa" w:w="5046"/>
          </w:tcPr>
          <w:p>
            <w:r/>
            <w:r>
              <w:rPr>
                <w:rFonts w:ascii="Calibri" w:hAnsi="Calibri" w:eastAsia="Calibri"/>
                <w:b/>
                <w:color w:val="6B7A8D"/>
                <w:sz w:val="16"/>
              </w:rPr>
              <w:t>CONDITIONS DE RÈGLEMENT</w:t>
              <w:br/>
            </w:r>
            <w:r>
              <w:rPr>
                <w:rFonts w:ascii="Calibri" w:hAnsi="Calibri" w:eastAsia="Calibri"/>
                <w:b/>
                <w:color w:val="0F1720"/>
                <w:sz w:val="20"/>
              </w:rPr>
              <w:t>30 jours net · Virement</w:t>
            </w:r>
          </w:p>
        </w:tc>
      </w:tr>
    </w:tbl>
    <w:p/>
    <w:tbl>
      <w:tblPr>
        <w:tblStyle w:val="TableGrid"/>
        <w:tblW w:type="auto" w:w="0"/>
        <w:jc w:val="center"/>
        <w:tblLook w:firstColumn="1" w:firstRow="1" w:lastColumn="0" w:lastRow="0" w:noHBand="0" w:noVBand="1" w:val="04A0"/>
      </w:tblPr>
      <w:tblGrid>
        <w:gridCol w:w="1682"/>
        <w:gridCol w:w="1682"/>
        <w:gridCol w:w="1682"/>
        <w:gridCol w:w="1682"/>
        <w:gridCol w:w="1682"/>
        <w:gridCol w:w="1682"/>
      </w:tblGrid>
      <w:tr>
        <w:tc>
          <w:tcPr>
            <w:tcW w:type="dxa" w:w="1682"/>
            <w:vAlign w:val="center"/>
            <w:shd w:fill="0A3D7A" w:val="clear"/>
          </w:tcPr>
          <w:p>
            <w:pPr>
              <w:jc w:val="center"/>
            </w:pPr>
            <w:r/>
            <w:r>
              <w:rPr>
                <w:rFonts w:ascii="Calibri" w:hAnsi="Calibri" w:eastAsia="Calibri"/>
                <w:b/>
                <w:color w:val="FFFFFF"/>
                <w:sz w:val="18"/>
              </w:rPr>
              <w:t>Désignation</w:t>
            </w:r>
          </w:p>
        </w:tc>
        <w:tc>
          <w:tcPr>
            <w:tcW w:type="dxa" w:w="1682"/>
            <w:vAlign w:val="center"/>
            <w:shd w:fill="0A3D7A" w:val="clear"/>
          </w:tcPr>
          <w:p>
            <w:pPr>
              <w:jc w:val="center"/>
            </w:pPr>
            <w:r/>
            <w:r>
              <w:rPr>
                <w:rFonts w:ascii="Calibri" w:hAnsi="Calibri" w:eastAsia="Calibri"/>
                <w:b/>
                <w:color w:val="FFFFFF"/>
                <w:sz w:val="18"/>
              </w:rPr>
              <w:t>Qté</w:t>
            </w:r>
          </w:p>
        </w:tc>
        <w:tc>
          <w:tcPr>
            <w:tcW w:type="dxa" w:w="1682"/>
            <w:vAlign w:val="center"/>
            <w:shd w:fill="0A3D7A" w:val="clear"/>
          </w:tcPr>
          <w:p>
            <w:pPr>
              <w:jc w:val="center"/>
            </w:pPr>
            <w:r/>
            <w:r>
              <w:rPr>
                <w:rFonts w:ascii="Calibri" w:hAnsi="Calibri" w:eastAsia="Calibri"/>
                <w:b/>
                <w:color w:val="FFFFFF"/>
                <w:sz w:val="18"/>
              </w:rPr>
              <w:t>Unité</w:t>
            </w:r>
          </w:p>
        </w:tc>
        <w:tc>
          <w:tcPr>
            <w:tcW w:type="dxa" w:w="1682"/>
            <w:vAlign w:val="center"/>
            <w:shd w:fill="0A3D7A" w:val="clear"/>
          </w:tcPr>
          <w:p>
            <w:pPr>
              <w:jc w:val="center"/>
            </w:pPr>
            <w:r/>
            <w:r>
              <w:rPr>
                <w:rFonts w:ascii="Calibri" w:hAnsi="Calibri" w:eastAsia="Calibri"/>
                <w:b/>
                <w:color w:val="FFFFFF"/>
                <w:sz w:val="18"/>
              </w:rPr>
              <w:t>P.U. HT</w:t>
            </w:r>
          </w:p>
        </w:tc>
        <w:tc>
          <w:tcPr>
            <w:tcW w:type="dxa" w:w="1682"/>
            <w:vAlign w:val="center"/>
            <w:shd w:fill="0A3D7A" w:val="clear"/>
          </w:tcPr>
          <w:p>
            <w:pPr>
              <w:jc w:val="center"/>
            </w:pPr>
            <w:r/>
            <w:r>
              <w:rPr>
                <w:rFonts w:ascii="Calibri" w:hAnsi="Calibri" w:eastAsia="Calibri"/>
                <w:b/>
                <w:color w:val="FFFFFF"/>
                <w:sz w:val="18"/>
              </w:rPr>
              <w:t>Période</w:t>
            </w:r>
          </w:p>
        </w:tc>
        <w:tc>
          <w:tcPr>
            <w:tcW w:type="dxa" w:w="1682"/>
            <w:vAlign w:val="center"/>
            <w:shd w:fill="0A3D7A" w:val="clear"/>
          </w:tcPr>
          <w:p>
            <w:pPr>
              <w:jc w:val="center"/>
            </w:pPr>
            <w:r/>
            <w:r>
              <w:rPr>
                <w:rFonts w:ascii="Calibri" w:hAnsi="Calibri" w:eastAsia="Calibri"/>
                <w:b/>
                <w:color w:val="FFFFFF"/>
                <w:sz w:val="18"/>
              </w:rPr>
              <w:t>Total HT</w:t>
            </w:r>
          </w:p>
        </w:tc>
      </w:tr>
      <w:tr>
        <w:tc>
          <w:tcPr>
            <w:tcW w:type="dxa" w:w="1682"/>
            <w:vAlign w:val="center"/>
          </w:tcPr>
          <w:p>
            <w:r/>
            <w:r>
              <w:rPr>
                <w:rFonts w:ascii="Calibri" w:hAnsi="Calibri" w:eastAsia="Calibri"/>
                <w:b w:val="0"/>
                <w:color w:val="0F1720"/>
                <w:sz w:val="18"/>
              </w:rPr>
              <w:t>Entretien quotidien des bureaux</w:t>
            </w:r>
          </w:p>
        </w:tc>
        <w:tc>
          <w:tcPr>
            <w:tcW w:type="dxa" w:w="1682"/>
            <w:vAlign w:val="center"/>
          </w:tcPr>
          <w:p>
            <w:pPr>
              <w:jc w:val="center"/>
            </w:pPr>
            <w:r/>
            <w:r>
              <w:rPr>
                <w:rFonts w:ascii="Calibri" w:hAnsi="Calibri" w:eastAsia="Calibri"/>
                <w:b w:val="0"/>
                <w:color w:val="0F1720"/>
                <w:sz w:val="18"/>
              </w:rPr>
              <w:t>22</w:t>
            </w:r>
          </w:p>
        </w:tc>
        <w:tc>
          <w:tcPr>
            <w:tcW w:type="dxa" w:w="1682"/>
            <w:vAlign w:val="center"/>
          </w:tcPr>
          <w:p>
            <w:pPr>
              <w:jc w:val="center"/>
            </w:pPr>
            <w:r/>
            <w:r>
              <w:rPr>
                <w:rFonts w:ascii="Calibri" w:hAnsi="Calibri" w:eastAsia="Calibri"/>
                <w:b w:val="0"/>
                <w:color w:val="0F1720"/>
                <w:sz w:val="18"/>
              </w:rPr>
              <w:t>Jour</w:t>
            </w:r>
          </w:p>
        </w:tc>
        <w:tc>
          <w:tcPr>
            <w:tcW w:type="dxa" w:w="1682"/>
            <w:vAlign w:val="center"/>
          </w:tcPr>
          <w:p>
            <w:r/>
            <w:r>
              <w:rPr>
                <w:rFonts w:ascii="Calibri" w:hAnsi="Calibri" w:eastAsia="Calibri"/>
                <w:b w:val="0"/>
                <w:color w:val="0F1720"/>
                <w:sz w:val="18"/>
              </w:rPr>
              <w:t>25 000</w:t>
            </w:r>
          </w:p>
        </w:tc>
        <w:tc>
          <w:tcPr>
            <w:tcW w:type="dxa" w:w="1682"/>
            <w:vAlign w:val="center"/>
          </w:tcPr>
          <w:p>
            <w:r/>
            <w:r>
              <w:rPr>
                <w:rFonts w:ascii="Calibri" w:hAnsi="Calibri" w:eastAsia="Calibri"/>
                <w:b w:val="0"/>
                <w:color w:val="0F1720"/>
                <w:sz w:val="18"/>
              </w:rPr>
              <w:t>Mensuel</w:t>
            </w:r>
          </w:p>
        </w:tc>
        <w:tc>
          <w:tcPr>
            <w:tcW w:type="dxa" w:w="1682"/>
            <w:vAlign w:val="center"/>
          </w:tcPr>
          <w:p>
            <w:pPr>
              <w:jc w:val="right"/>
            </w:pPr>
            <w:r/>
            <w:r>
              <w:rPr>
                <w:rFonts w:ascii="Calibri" w:hAnsi="Calibri" w:eastAsia="Calibri"/>
                <w:b w:val="0"/>
                <w:color w:val="0F1720"/>
                <w:sz w:val="18"/>
              </w:rPr>
              <w:t>550 000</w:t>
            </w:r>
          </w:p>
        </w:tc>
      </w:tr>
      <w:tr>
        <w:tc>
          <w:tcPr>
            <w:tcW w:type="dxa" w:w="1682"/>
            <w:vAlign w:val="center"/>
            <w:shd w:fill="F3F6FA" w:val="clear"/>
          </w:tcPr>
          <w:p>
            <w:r/>
            <w:r>
              <w:rPr>
                <w:rFonts w:ascii="Calibri" w:hAnsi="Calibri" w:eastAsia="Calibri"/>
                <w:b w:val="0"/>
                <w:color w:val="0F1720"/>
                <w:sz w:val="18"/>
              </w:rPr>
              <w:t>Entretien des sanitaires</w:t>
            </w:r>
          </w:p>
        </w:tc>
        <w:tc>
          <w:tcPr>
            <w:tcW w:type="dxa" w:w="1682"/>
            <w:vAlign w:val="center"/>
            <w:shd w:fill="F3F6FA" w:val="clear"/>
          </w:tcPr>
          <w:p>
            <w:pPr>
              <w:jc w:val="center"/>
            </w:pPr>
            <w:r/>
            <w:r>
              <w:rPr>
                <w:rFonts w:ascii="Calibri" w:hAnsi="Calibri" w:eastAsia="Calibri"/>
                <w:b w:val="0"/>
                <w:color w:val="0F1720"/>
                <w:sz w:val="18"/>
              </w:rPr>
              <w:t>22</w:t>
            </w:r>
          </w:p>
        </w:tc>
        <w:tc>
          <w:tcPr>
            <w:tcW w:type="dxa" w:w="1682"/>
            <w:vAlign w:val="center"/>
            <w:shd w:fill="F3F6FA" w:val="clear"/>
          </w:tcPr>
          <w:p>
            <w:pPr>
              <w:jc w:val="center"/>
            </w:pPr>
            <w:r/>
            <w:r>
              <w:rPr>
                <w:rFonts w:ascii="Calibri" w:hAnsi="Calibri" w:eastAsia="Calibri"/>
                <w:b w:val="0"/>
                <w:color w:val="0F1720"/>
                <w:sz w:val="18"/>
              </w:rPr>
              <w:t>Jour</w:t>
            </w:r>
          </w:p>
        </w:tc>
        <w:tc>
          <w:tcPr>
            <w:tcW w:type="dxa" w:w="1682"/>
            <w:vAlign w:val="center"/>
            <w:shd w:fill="F3F6FA" w:val="clear"/>
          </w:tcPr>
          <w:p>
            <w:r/>
            <w:r>
              <w:rPr>
                <w:rFonts w:ascii="Calibri" w:hAnsi="Calibri" w:eastAsia="Calibri"/>
                <w:b w:val="0"/>
                <w:color w:val="0F1720"/>
                <w:sz w:val="18"/>
              </w:rPr>
              <w:t>8 500</w:t>
            </w:r>
          </w:p>
        </w:tc>
        <w:tc>
          <w:tcPr>
            <w:tcW w:type="dxa" w:w="1682"/>
            <w:vAlign w:val="center"/>
            <w:shd w:fill="F3F6FA" w:val="clear"/>
          </w:tcPr>
          <w:p>
            <w:r/>
            <w:r>
              <w:rPr>
                <w:rFonts w:ascii="Calibri" w:hAnsi="Calibri" w:eastAsia="Calibri"/>
                <w:b w:val="0"/>
                <w:color w:val="0F1720"/>
                <w:sz w:val="18"/>
              </w:rPr>
              <w:t>Mensuel</w:t>
            </w:r>
          </w:p>
        </w:tc>
        <w:tc>
          <w:tcPr>
            <w:tcW w:type="dxa" w:w="1682"/>
            <w:vAlign w:val="center"/>
            <w:shd w:fill="F3F6FA" w:val="clear"/>
          </w:tcPr>
          <w:p>
            <w:pPr>
              <w:jc w:val="right"/>
            </w:pPr>
            <w:r/>
            <w:r>
              <w:rPr>
                <w:rFonts w:ascii="Calibri" w:hAnsi="Calibri" w:eastAsia="Calibri"/>
                <w:b w:val="0"/>
                <w:color w:val="0F1720"/>
                <w:sz w:val="18"/>
              </w:rPr>
              <w:t>187 000</w:t>
            </w:r>
          </w:p>
        </w:tc>
      </w:tr>
      <w:tr>
        <w:tc>
          <w:tcPr>
            <w:tcW w:type="dxa" w:w="1682"/>
            <w:vAlign w:val="center"/>
          </w:tcPr>
          <w:p>
            <w:r/>
            <w:r>
              <w:rPr>
                <w:rFonts w:ascii="Calibri" w:hAnsi="Calibri" w:eastAsia="Calibri"/>
                <w:b w:val="0"/>
                <w:color w:val="0F1720"/>
                <w:sz w:val="18"/>
              </w:rPr>
              <w:t>Vitrerie intérieure</w:t>
            </w:r>
          </w:p>
        </w:tc>
        <w:tc>
          <w:tcPr>
            <w:tcW w:type="dxa" w:w="1682"/>
            <w:vAlign w:val="center"/>
          </w:tcPr>
          <w:p>
            <w:pPr>
              <w:jc w:val="center"/>
            </w:pPr>
            <w:r/>
            <w:r>
              <w:rPr>
                <w:rFonts w:ascii="Calibri" w:hAnsi="Calibri" w:eastAsia="Calibri"/>
                <w:b w:val="0"/>
                <w:color w:val="0F1720"/>
                <w:sz w:val="18"/>
              </w:rPr>
              <w:t>1</w:t>
            </w:r>
          </w:p>
        </w:tc>
        <w:tc>
          <w:tcPr>
            <w:tcW w:type="dxa" w:w="1682"/>
            <w:vAlign w:val="center"/>
          </w:tcPr>
          <w:p>
            <w:pPr>
              <w:jc w:val="center"/>
            </w:pPr>
            <w:r/>
            <w:r>
              <w:rPr>
                <w:rFonts w:ascii="Calibri" w:hAnsi="Calibri" w:eastAsia="Calibri"/>
                <w:b w:val="0"/>
                <w:color w:val="0F1720"/>
                <w:sz w:val="18"/>
              </w:rPr>
              <w:t>Interv.</w:t>
            </w:r>
          </w:p>
        </w:tc>
        <w:tc>
          <w:tcPr>
            <w:tcW w:type="dxa" w:w="1682"/>
            <w:vAlign w:val="center"/>
          </w:tcPr>
          <w:p>
            <w:r/>
            <w:r>
              <w:rPr>
                <w:rFonts w:ascii="Calibri" w:hAnsi="Calibri" w:eastAsia="Calibri"/>
                <w:b w:val="0"/>
                <w:color w:val="0F1720"/>
                <w:sz w:val="18"/>
              </w:rPr>
              <w:t>85 000</w:t>
            </w:r>
          </w:p>
        </w:tc>
        <w:tc>
          <w:tcPr>
            <w:tcW w:type="dxa" w:w="1682"/>
            <w:vAlign w:val="center"/>
          </w:tcPr>
          <w:p>
            <w:r/>
            <w:r>
              <w:rPr>
                <w:rFonts w:ascii="Calibri" w:hAnsi="Calibri" w:eastAsia="Calibri"/>
                <w:b w:val="0"/>
                <w:color w:val="0F1720"/>
                <w:sz w:val="18"/>
              </w:rPr>
              <w:t>Mensuel</w:t>
            </w:r>
          </w:p>
        </w:tc>
        <w:tc>
          <w:tcPr>
            <w:tcW w:type="dxa" w:w="1682"/>
            <w:vAlign w:val="center"/>
          </w:tcPr>
          <w:p>
            <w:pPr>
              <w:jc w:val="right"/>
            </w:pPr>
            <w:r/>
            <w:r>
              <w:rPr>
                <w:rFonts w:ascii="Calibri" w:hAnsi="Calibri" w:eastAsia="Calibri"/>
                <w:b w:val="0"/>
                <w:color w:val="0F1720"/>
                <w:sz w:val="18"/>
              </w:rPr>
              <w:t>85 000</w:t>
            </w:r>
          </w:p>
        </w:tc>
      </w:tr>
      <w:tr>
        <w:tc>
          <w:tcPr>
            <w:tcW w:type="dxa" w:w="1682"/>
            <w:vAlign w:val="center"/>
            <w:shd w:fill="F3F6FA" w:val="clear"/>
          </w:tcPr>
          <w:p>
            <w:r/>
            <w:r>
              <w:rPr>
                <w:rFonts w:ascii="Calibri" w:hAnsi="Calibri" w:eastAsia="Calibri"/>
                <w:b w:val="0"/>
                <w:color w:val="0F1720"/>
                <w:sz w:val="18"/>
              </w:rPr>
              <w:t>Fourniture consommables standards</w:t>
            </w:r>
          </w:p>
        </w:tc>
        <w:tc>
          <w:tcPr>
            <w:tcW w:type="dxa" w:w="1682"/>
            <w:vAlign w:val="center"/>
            <w:shd w:fill="F3F6FA" w:val="clear"/>
          </w:tcPr>
          <w:p>
            <w:pPr>
              <w:jc w:val="center"/>
            </w:pPr>
            <w:r/>
            <w:r>
              <w:rPr>
                <w:rFonts w:ascii="Calibri" w:hAnsi="Calibri" w:eastAsia="Calibri"/>
                <w:b w:val="0"/>
                <w:color w:val="0F1720"/>
                <w:sz w:val="18"/>
              </w:rPr>
              <w:t>1</w:t>
            </w:r>
          </w:p>
        </w:tc>
        <w:tc>
          <w:tcPr>
            <w:tcW w:type="dxa" w:w="1682"/>
            <w:vAlign w:val="center"/>
            <w:shd w:fill="F3F6FA" w:val="clear"/>
          </w:tcPr>
          <w:p>
            <w:pPr>
              <w:jc w:val="center"/>
            </w:pPr>
            <w:r/>
            <w:r>
              <w:rPr>
                <w:rFonts w:ascii="Calibri" w:hAnsi="Calibri" w:eastAsia="Calibri"/>
                <w:b w:val="0"/>
                <w:color w:val="0F1720"/>
                <w:sz w:val="18"/>
              </w:rPr>
              <w:t>Lot</w:t>
            </w:r>
          </w:p>
        </w:tc>
        <w:tc>
          <w:tcPr>
            <w:tcW w:type="dxa" w:w="1682"/>
            <w:vAlign w:val="center"/>
            <w:shd w:fill="F3F6FA" w:val="clear"/>
          </w:tcPr>
          <w:p>
            <w:r/>
            <w:r>
              <w:rPr>
                <w:rFonts w:ascii="Calibri" w:hAnsi="Calibri" w:eastAsia="Calibri"/>
                <w:b w:val="0"/>
                <w:color w:val="0F1720"/>
                <w:sz w:val="18"/>
              </w:rPr>
              <w:t>75 000</w:t>
            </w:r>
          </w:p>
        </w:tc>
        <w:tc>
          <w:tcPr>
            <w:tcW w:type="dxa" w:w="1682"/>
            <w:vAlign w:val="center"/>
            <w:shd w:fill="F3F6FA" w:val="clear"/>
          </w:tcPr>
          <w:p>
            <w:r/>
            <w:r>
              <w:rPr>
                <w:rFonts w:ascii="Calibri" w:hAnsi="Calibri" w:eastAsia="Calibri"/>
                <w:b w:val="0"/>
                <w:color w:val="0F1720"/>
                <w:sz w:val="18"/>
              </w:rPr>
              <w:t>Mensuel</w:t>
            </w:r>
          </w:p>
        </w:tc>
        <w:tc>
          <w:tcPr>
            <w:tcW w:type="dxa" w:w="1682"/>
            <w:vAlign w:val="center"/>
            <w:shd w:fill="F3F6FA" w:val="clear"/>
          </w:tcPr>
          <w:p>
            <w:pPr>
              <w:jc w:val="right"/>
            </w:pPr>
            <w:r/>
            <w:r>
              <w:rPr>
                <w:rFonts w:ascii="Calibri" w:hAnsi="Calibri" w:eastAsia="Calibri"/>
                <w:b w:val="0"/>
                <w:color w:val="0F1720"/>
                <w:sz w:val="18"/>
              </w:rPr>
              <w:t>75 000</w:t>
            </w:r>
          </w:p>
        </w:tc>
      </w:tr>
    </w:tbl>
    <w:p/>
    <w:tbl>
      <w:tblPr>
        <w:tblW w:type="auto" w:w="0"/>
        <w:jc w:val="right"/>
        <w:tblLook w:firstColumn="1" w:firstRow="1" w:lastColumn="0" w:lastRow="0" w:noHBand="0" w:noVBand="1" w:val="04A0"/>
      </w:tblPr>
      <w:tblGrid>
        <w:gridCol w:w="5046"/>
        <w:gridCol w:w="5046"/>
      </w:tblGrid>
      <w:tr>
        <w:tc>
          <w:tcPr>
            <w:tcW w:type="dxa" w:w="5046"/>
            <w:vAlign w:val="center"/>
          </w:tcPr>
          <w:p>
            <w:r/>
            <w:r>
              <w:rPr>
                <w:rFonts w:ascii="Calibri" w:hAnsi="Calibri" w:eastAsia="Calibri"/>
                <w:b w:val="0"/>
                <w:color w:val="3D4A5C"/>
                <w:sz w:val="20"/>
              </w:rPr>
              <w:t>Sous-total HT</w:t>
            </w:r>
          </w:p>
        </w:tc>
        <w:tc>
          <w:tcPr>
            <w:tcW w:type="dxa" w:w="5046"/>
            <w:vAlign w:val="center"/>
          </w:tcPr>
          <w:p>
            <w:pPr>
              <w:jc w:val="right"/>
            </w:pPr>
            <w:r/>
            <w:r>
              <w:rPr>
                <w:rFonts w:ascii="Calibri" w:hAnsi="Calibri" w:eastAsia="Calibri"/>
                <w:b/>
                <w:color w:val="0F1720"/>
                <w:sz w:val="20"/>
              </w:rPr>
              <w:t>897 000 FCFA</w:t>
            </w:r>
          </w:p>
        </w:tc>
      </w:tr>
      <w:tr>
        <w:tc>
          <w:tcPr>
            <w:tcW w:type="dxa" w:w="5046"/>
            <w:vAlign w:val="center"/>
          </w:tcPr>
          <w:p>
            <w:r/>
            <w:r>
              <w:rPr>
                <w:rFonts w:ascii="Calibri" w:hAnsi="Calibri" w:eastAsia="Calibri"/>
                <w:b w:val="0"/>
                <w:color w:val="3D4A5C"/>
                <w:sz w:val="20"/>
              </w:rPr>
              <w:t>Remise commerciale (0%)</w:t>
            </w:r>
          </w:p>
        </w:tc>
        <w:tc>
          <w:tcPr>
            <w:tcW w:type="dxa" w:w="5046"/>
            <w:vAlign w:val="center"/>
          </w:tcPr>
          <w:p>
            <w:pPr>
              <w:jc w:val="right"/>
            </w:pPr>
            <w:r/>
            <w:r>
              <w:rPr>
                <w:rFonts w:ascii="Calibri" w:hAnsi="Calibri" w:eastAsia="Calibri"/>
                <w:b/>
                <w:color w:val="0F1720"/>
                <w:sz w:val="20"/>
              </w:rPr>
              <w:t>0 FCFA</w:t>
            </w:r>
          </w:p>
        </w:tc>
      </w:tr>
      <w:tr>
        <w:tc>
          <w:tcPr>
            <w:tcW w:type="dxa" w:w="5046"/>
            <w:vAlign w:val="center"/>
          </w:tcPr>
          <w:p>
            <w:r/>
            <w:r>
              <w:rPr>
                <w:rFonts w:ascii="Calibri" w:hAnsi="Calibri" w:eastAsia="Calibri"/>
                <w:b w:val="0"/>
                <w:color w:val="3D4A5C"/>
                <w:sz w:val="20"/>
              </w:rPr>
              <w:t>Taxes applicables</w:t>
            </w:r>
          </w:p>
        </w:tc>
        <w:tc>
          <w:tcPr>
            <w:tcW w:type="dxa" w:w="5046"/>
            <w:vAlign w:val="center"/>
          </w:tcPr>
          <w:p>
            <w:pPr>
              <w:jc w:val="right"/>
            </w:pPr>
            <w:r/>
            <w:r>
              <w:rPr>
                <w:rFonts w:ascii="Calibri" w:hAnsi="Calibri" w:eastAsia="Calibri"/>
                <w:b/>
                <w:color w:val="0F1720"/>
                <w:sz w:val="20"/>
              </w:rPr>
              <w:t>Selon régime fiscal</w:t>
            </w:r>
          </w:p>
        </w:tc>
      </w:tr>
      <w:tr>
        <w:tc>
          <w:tcPr>
            <w:tcW w:type="dxa" w:w="5046"/>
            <w:vAlign w:val="center"/>
            <w:shd w:fill="0A3D7A" w:val="clear"/>
          </w:tcPr>
          <w:p>
            <w:r/>
            <w:r>
              <w:rPr>
                <w:rFonts w:ascii="Calibri" w:hAnsi="Calibri" w:eastAsia="Calibri"/>
                <w:b/>
                <w:color w:val="FFFFFF"/>
                <w:sz w:val="22"/>
              </w:rPr>
              <w:t>Net mensuel estimatif</w:t>
            </w:r>
          </w:p>
        </w:tc>
        <w:tc>
          <w:tcPr>
            <w:tcW w:type="dxa" w:w="5046"/>
            <w:vAlign w:val="center"/>
            <w:shd w:fill="2D8A2E" w:val="clear"/>
          </w:tcPr>
          <w:p>
            <w:pPr>
              <w:jc w:val="right"/>
            </w:pPr>
            <w:r/>
            <w:r>
              <w:rPr>
                <w:rFonts w:ascii="Calibri" w:hAnsi="Calibri" w:eastAsia="Calibri"/>
                <w:b/>
                <w:color w:val="FFFFFF"/>
                <w:sz w:val="22"/>
              </w:rPr>
              <w:t>897 000 FCFA</w:t>
            </w:r>
          </w:p>
        </w:tc>
      </w:tr>
    </w:tbl>
    <w:p/>
    <w:p>
      <w:pPr>
        <w:spacing w:after="120" w:before="160"/>
      </w:pPr>
      <w:r>
        <w:rPr>
          <w:rFonts w:ascii="Calibri" w:hAnsi="Calibri" w:eastAsia="Calibri"/>
          <w:b/>
          <w:color w:val="0A3D7A"/>
          <w:sz w:val="24"/>
        </w:rPr>
        <w:t>Conditions commerciales</w:t>
      </w:r>
    </w:p>
    <w:p>
      <w:pPr>
        <w:pStyle w:val="ListNumber"/>
        <w:spacing w:after="60"/>
      </w:pPr>
      <w:r>
        <w:rPr>
          <w:rFonts w:ascii="Calibri" w:hAnsi="Calibri" w:eastAsia="Calibri"/>
          <w:b w:val="0"/>
          <w:color w:val="3D4A5C"/>
          <w:sz w:val="20"/>
        </w:rPr>
        <w:t>Le présent devis est valable trente (30) jours à compter de sa date d’émission.</w:t>
      </w:r>
    </w:p>
    <w:p>
      <w:pPr>
        <w:pStyle w:val="ListNumber"/>
        <w:spacing w:after="60"/>
      </w:pPr>
      <w:r>
        <w:rPr>
          <w:rFonts w:ascii="Calibri" w:hAnsi="Calibri" w:eastAsia="Calibri"/>
          <w:b w:val="0"/>
          <w:color w:val="3D4A5C"/>
          <w:sz w:val="20"/>
        </w:rPr>
        <w:t>Toute acceptation vaut commande ferme sous réserve de signature du contrat de prestation.</w:t>
      </w:r>
    </w:p>
    <w:p>
      <w:pPr>
        <w:pStyle w:val="ListNumber"/>
        <w:spacing w:after="60"/>
      </w:pPr>
      <w:r>
        <w:rPr>
          <w:rFonts w:ascii="Calibri" w:hAnsi="Calibri" w:eastAsia="Calibri"/>
          <w:b w:val="0"/>
          <w:color w:val="3D4A5C"/>
          <w:sz w:val="20"/>
        </w:rPr>
        <w:t>Les prix sont révisables annuellement selon les modalités prévues au contrat.</w:t>
      </w:r>
    </w:p>
    <w:p>
      <w:pPr>
        <w:pStyle w:val="ListNumber"/>
        <w:spacing w:after="60"/>
      </w:pPr>
      <w:r>
        <w:rPr>
          <w:rFonts w:ascii="Calibri" w:hAnsi="Calibri" w:eastAsia="Calibri"/>
          <w:b w:val="0"/>
          <w:color w:val="3D4A5C"/>
          <w:sz w:val="20"/>
        </w:rPr>
        <w:t>Les prestations hors périmètre font l’objet d’un devis séparé.</w:t>
      </w:r>
    </w:p>
    <w:p>
      <w:pPr>
        <w:pStyle w:val="ListNumber"/>
        <w:spacing w:after="60"/>
      </w:pPr>
      <w:r>
        <w:rPr>
          <w:rFonts w:ascii="Calibri" w:hAnsi="Calibri" w:eastAsia="Calibri"/>
          <w:b w:val="0"/>
          <w:color w:val="3D4A5C"/>
          <w:sz w:val="20"/>
        </w:rPr>
        <w:t>NECS s’engage sur la qualité de service, le respect des plannings et la traçabilité des interventions.</w:t>
      </w:r>
    </w:p>
    <w:p>
      <w:pPr>
        <w:spacing w:after="80" w:before="0"/>
      </w:pPr>
    </w:p>
    <w:tbl>
      <w:tblPr>
        <w:tblStyle w:val="TableGrid"/>
        <w:tblW w:type="auto" w:w="0"/>
        <w:tblLook w:firstColumn="1" w:firstRow="1" w:lastColumn="0" w:lastRow="0" w:noHBand="0" w:noVBand="1" w:val="04A0"/>
      </w:tblPr>
      <w:tblGrid>
        <w:gridCol w:w="5046"/>
        <w:gridCol w:w="5046"/>
      </w:tblGrid>
      <w:tr>
        <w:tc>
          <w:tcPr>
            <w:tcW w:type="dxa" w:w="5046"/>
          </w:tcPr>
          <w:p>
            <w:r/>
            <w:r>
              <w:rPr>
                <w:rFonts w:ascii="Calibri" w:hAnsi="Calibri" w:eastAsia="Calibri"/>
                <w:b/>
                <w:color w:val="0A3D7A"/>
                <w:sz w:val="20"/>
              </w:rPr>
              <w:t>Pour NECS SARL</w:t>
            </w:r>
          </w:p>
          <w:p>
            <w:r>
              <w:rPr>
                <w:rFonts w:ascii="Calibri" w:hAnsi="Calibri" w:eastAsia="Calibri"/>
                <w:b w:val="0"/>
                <w:color w:val="6B7A8D"/>
                <w:sz w:val="18"/>
              </w:rPr>
              <w:t>Service Commercial — Émission du devis</w:t>
            </w:r>
          </w:p>
          <w:p/>
          <w:p/>
          <w:p/>
          <w:p/>
          <w:p>
            <w:r>
              <w:rPr>
                <w:rFonts w:ascii="Calibri" w:hAnsi="Calibri" w:eastAsia="Calibri"/>
                <w:b w:val="0"/>
                <w:color w:val="6B7A8D"/>
                <w:sz w:val="16"/>
              </w:rPr>
              <w:t>Nom, signature &amp; cachet · Date</w:t>
            </w:r>
          </w:p>
        </w:tc>
        <w:tc>
          <w:tcPr>
            <w:tcW w:type="dxa" w:w="5046"/>
          </w:tcPr>
          <w:p>
            <w:r/>
            <w:r>
              <w:rPr>
                <w:rFonts w:ascii="Calibri" w:hAnsi="Calibri" w:eastAsia="Calibri"/>
                <w:b/>
                <w:color w:val="0A3D7A"/>
                <w:sz w:val="20"/>
              </w:rPr>
              <w:t>Bon pour accord — Client</w:t>
            </w:r>
          </w:p>
          <w:p>
            <w:r>
              <w:rPr>
                <w:rFonts w:ascii="Calibri" w:hAnsi="Calibri" w:eastAsia="Calibri"/>
                <w:b w:val="0"/>
                <w:color w:val="6B7A8D"/>
                <w:sz w:val="18"/>
              </w:rPr>
              <w:t>« Lu et approuvé »</w:t>
            </w:r>
          </w:p>
          <w:p/>
          <w:p/>
          <w:p/>
          <w:p/>
          <w:p>
            <w:r>
              <w:rPr>
                <w:rFonts w:ascii="Calibri" w:hAnsi="Calibri" w:eastAsia="Calibri"/>
                <w:b w:val="0"/>
                <w:color w:val="6B7A8D"/>
                <w:sz w:val="16"/>
              </w:rPr>
              <w:t>Nom, signature &amp; cachet · Date</w:t>
            </w:r>
          </w:p>
        </w:tc>
      </w:tr>
    </w:tbl>
    <w:p/>
    <w:p>
      <w:pPr>
        <w:spacing w:before="40" w:after="160"/>
        <w:pBdr>
          <w:bottom w:val="single" w:sz="18" w:space="1" w:color="0A3D7A"/>
        </w:pBdr>
      </w:pPr>
    </w:p>
    <w:p>
      <w:pPr>
        <w:spacing w:after="120" w:before="0"/>
        <w:jc w:val="center"/>
      </w:pPr>
      <w:r>
        <w:rPr>
          <w:rFonts w:ascii="Calibri" w:hAnsi="Calibri" w:eastAsia="Calibri"/>
          <w:b w:val="0"/>
          <w:color w:val="6B7A8D"/>
          <w:sz w:val="16"/>
        </w:rPr>
        <w:t>NECS / NECLEANING &amp; SERVICES SARL — NECS-DEV-2026-0142 — Document commercial confidentiel</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