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3364"/>
        <w:gridCol w:w="3364"/>
        <w:gridCol w:w="3364"/>
      </w:tblGrid>
      <w:tr>
        <w:tc>
          <w:tcPr>
            <w:tcW w:type="dxa" w:w="3364"/>
          </w:tcPr>
          <w:p>
            <w:r>
              <w:drawing>
                <wp:inline xmlns:a="http://schemas.openxmlformats.org/drawingml/2006/main" xmlns:pic="http://schemas.openxmlformats.org/drawingml/2006/picture">
                  <wp:extent cx="864000" cy="576000"/>
                  <wp:docPr id="1" name="Picture 1"/>
                  <wp:cNvGraphicFramePr>
                    <a:graphicFrameLocks noChangeAspect="1"/>
                  </wp:cNvGraphicFramePr>
                  <a:graphic>
                    <a:graphicData uri="http://schemas.openxmlformats.org/drawingml/2006/picture">
                      <pic:pic>
                        <pic:nvPicPr>
                          <pic:cNvPr id="0" name="logo-necs.jpg"/>
                          <pic:cNvPicPr/>
                        </pic:nvPicPr>
                        <pic:blipFill>
                          <a:blip r:embed="rId9"/>
                          <a:stretch>
                            <a:fillRect/>
                          </a:stretch>
                        </pic:blipFill>
                        <pic:spPr>
                          <a:xfrm>
                            <a:off x="0" y="0"/>
                            <a:ext cx="864000" cy="576000"/>
                          </a:xfrm>
                          <a:prstGeom prst="rect"/>
                        </pic:spPr>
                      </pic:pic>
                    </a:graphicData>
                  </a:graphic>
                </wp:inline>
              </w:drawing>
            </w:r>
          </w:p>
        </w:tc>
        <w:tc>
          <w:tcPr>
            <w:tcW w:type="dxa" w:w="3364"/>
          </w:tcPr>
          <w:p>
            <w:r/>
            <w:r>
              <w:rPr>
                <w:rFonts w:ascii="Calibri" w:hAnsi="Calibri" w:eastAsia="Calibri"/>
                <w:b/>
                <w:color w:val="0A3D7A"/>
                <w:sz w:val="36"/>
              </w:rPr>
              <w:t>NECS</w:t>
            </w:r>
          </w:p>
          <w:p>
            <w:r>
              <w:rPr>
                <w:rFonts w:ascii="Calibri" w:hAnsi="Calibri" w:eastAsia="Calibri"/>
                <w:b/>
                <w:color w:val="0F1720"/>
                <w:sz w:val="20"/>
              </w:rPr>
              <w:t>NECLEANING &amp; SERVICES SARL</w:t>
            </w:r>
          </w:p>
          <w:p>
            <w:r>
              <w:rPr>
                <w:rFonts w:ascii="Calibri" w:hAnsi="Calibri" w:eastAsia="Calibri"/>
                <w:b w:val="0"/>
                <w:color w:val="6B7A8D"/>
                <w:sz w:val="18"/>
              </w:rPr>
              <w:t>Propreté · Rigueur · Confiance</w:t>
            </w:r>
          </w:p>
          <w:p>
            <w:r>
              <w:rPr>
                <w:rFonts w:ascii="Calibri" w:hAnsi="Calibri" w:eastAsia="Calibri"/>
                <w:b w:val="0"/>
                <w:color w:val="3D4A5C"/>
                <w:sz w:val="16"/>
              </w:rPr>
              <w:t>Siège : [Adresse — Cameroun]  |  Tél. : [+237 …]  |  Email : contact@necs.cm</w:t>
            </w:r>
          </w:p>
        </w:tc>
        <w:tc>
          <w:tcPr>
            <w:tcW w:type="dxa" w:w="3364"/>
          </w:tcPr>
          <w:p>
            <w:pPr>
              <w:jc w:val="right"/>
            </w:pPr>
            <w:r/>
            <w:r>
              <w:rPr>
                <w:rFonts w:ascii="Calibri" w:hAnsi="Calibri" w:eastAsia="Calibri"/>
                <w:b/>
                <w:color w:val="2D8A2E"/>
                <w:sz w:val="24"/>
              </w:rPr>
              <w:t>CONTRAT DE PRESTATION</w:t>
            </w:r>
          </w:p>
          <w:p>
            <w:pPr>
              <w:jc w:val="right"/>
            </w:pPr>
            <w:r>
              <w:rPr>
                <w:rFonts w:ascii="Calibri" w:hAnsi="Calibri" w:eastAsia="Calibri"/>
                <w:b/>
                <w:color w:val="0A3D7A"/>
                <w:sz w:val="20"/>
              </w:rPr>
              <w:t>NECS-CTR-2026-0034</w:t>
            </w:r>
          </w:p>
          <w:p>
            <w:pPr>
              <w:jc w:val="right"/>
            </w:pPr>
            <w:r>
              <w:rPr>
                <w:rFonts w:ascii="Calibri" w:hAnsi="Calibri" w:eastAsia="Calibri"/>
                <w:b w:val="0"/>
                <w:color w:val="3D4A5C"/>
                <w:sz w:val="18"/>
              </w:rPr>
              <w:t>Date d’effet : 01/04/2026</w:t>
            </w:r>
          </w:p>
          <w:p>
            <w:pPr>
              <w:jc w:val="right"/>
            </w:pPr>
            <w:r>
              <w:rPr>
                <w:rFonts w:ascii="Calibri" w:hAnsi="Calibri" w:eastAsia="Calibri"/>
                <w:b w:val="0"/>
                <w:color w:val="3D4A5C"/>
                <w:sz w:val="18"/>
              </w:rPr>
              <w:t>Durée : 12 mois</w:t>
            </w:r>
          </w:p>
          <w:p>
            <w:pPr>
              <w:jc w:val="right"/>
            </w:pPr>
            <w:r>
              <w:rPr>
                <w:rFonts w:ascii="Calibri" w:hAnsi="Calibri" w:eastAsia="Calibri"/>
                <w:b w:val="0"/>
                <w:color w:val="3D4A5C"/>
                <w:sz w:val="18"/>
              </w:rPr>
              <w:t>Version : 1.0</w:t>
            </w:r>
          </w:p>
        </w:tc>
      </w:tr>
    </w:tbl>
    <w:p>
      <w:pPr>
        <w:spacing w:before="40" w:after="160"/>
        <w:pBdr>
          <w:bottom w:val="single" w:sz="18" w:space="1" w:color="0A3D7A"/>
        </w:pBdr>
      </w:pPr>
    </w:p>
    <w:p>
      <w:pPr>
        <w:spacing w:after="200" w:before="0"/>
        <w:jc w:val="center"/>
      </w:pPr>
      <w:r>
        <w:rPr>
          <w:rFonts w:ascii="Calibri" w:hAnsi="Calibri" w:eastAsia="Calibri"/>
          <w:b/>
          <w:color w:val="2D8A2E"/>
          <w:sz w:val="18"/>
        </w:rPr>
        <w:t>SPÉCIMEN — DOCUMENT DE VALIDATION CLIENT</w:t>
      </w:r>
    </w:p>
    <w:p>
      <w:pPr>
        <w:spacing w:after="120" w:before="0"/>
        <w:jc w:val="center"/>
      </w:pPr>
      <w:r>
        <w:rPr>
          <w:rFonts w:ascii="Calibri" w:hAnsi="Calibri" w:eastAsia="Calibri"/>
          <w:b/>
          <w:color w:val="0A3D7A"/>
          <w:sz w:val="28"/>
        </w:rPr>
        <w:t>Contrat de prestation de services de nettoyage</w:t>
      </w:r>
    </w:p>
    <w:p>
      <w:pPr>
        <w:spacing w:after="120" w:before="0"/>
        <w:jc w:val="both"/>
      </w:pPr>
      <w:r>
        <w:rPr>
          <w:rFonts w:ascii="Calibri" w:hAnsi="Calibri" w:eastAsia="Calibri"/>
          <w:b w:val="0"/>
          <w:color w:val="0F1720"/>
          <w:sz w:val="20"/>
        </w:rPr>
        <w:t>Entre les soussignés, il a été convenu ce qui suit. Le présent contrat formalise le périmètre, les obligations, les niveaux de service (SLA), les conditions financières et les modalités de résiliation applicables aux prestations NECS.</w:t>
      </w:r>
    </w:p>
    <w:tbl>
      <w:tblPr>
        <w:tblStyle w:val="TableGrid"/>
        <w:tblW w:type="auto" w:w="0"/>
        <w:tblLook w:firstColumn="1" w:firstRow="1" w:lastColumn="0" w:lastRow="0" w:noHBand="0" w:noVBand="1" w:val="04A0"/>
      </w:tblPr>
      <w:tblGrid>
        <w:gridCol w:w="5046"/>
        <w:gridCol w:w="5046"/>
      </w:tblGrid>
      <w:tr>
        <w:tc>
          <w:tcPr>
            <w:tcW w:type="dxa" w:w="5046"/>
            <w:shd w:fill="F7FAFC" w:val="clear"/>
          </w:tcPr>
          <w:p>
            <w:r/>
            <w:r>
              <w:rPr>
                <w:rFonts w:ascii="Calibri" w:hAnsi="Calibri" w:eastAsia="Calibri"/>
                <w:b/>
                <w:color w:val="0A3D7A"/>
                <w:sz w:val="18"/>
              </w:rPr>
              <w:t>LE PRESTATAIRE</w:t>
            </w:r>
          </w:p>
          <w:p>
            <w:r>
              <w:rPr>
                <w:rFonts w:ascii="Calibri" w:hAnsi="Calibri" w:eastAsia="Calibri"/>
                <w:b/>
                <w:color w:val="0F1720"/>
                <w:sz w:val="20"/>
              </w:rPr>
              <w:t>NECS / NECLEANING &amp; SERVICES SARL</w:t>
            </w:r>
          </w:p>
          <w:p>
            <w:r>
              <w:rPr>
                <w:rFonts w:ascii="Calibri" w:hAnsi="Calibri" w:eastAsia="Calibri"/>
                <w:b w:val="0"/>
                <w:color w:val="0F1720"/>
                <w:sz w:val="20"/>
              </w:rPr>
              <w:t>Ci-après « le Prestataire »</w:t>
            </w:r>
          </w:p>
          <w:p>
            <w:r>
              <w:rPr>
                <w:rFonts w:ascii="Calibri" w:hAnsi="Calibri" w:eastAsia="Calibri"/>
                <w:b w:val="0"/>
                <w:color w:val="0F1720"/>
                <w:sz w:val="20"/>
              </w:rPr>
              <w:t>Représentée par : [Nom du DG]</w:t>
            </w:r>
          </w:p>
          <w:p>
            <w:r>
              <w:rPr>
                <w:rFonts w:ascii="Calibri" w:hAnsi="Calibri" w:eastAsia="Calibri"/>
                <w:b w:val="0"/>
                <w:color w:val="0F1720"/>
                <w:sz w:val="20"/>
              </w:rPr>
              <w:t>Qualité : Directeur Général</w:t>
            </w:r>
          </w:p>
        </w:tc>
        <w:tc>
          <w:tcPr>
            <w:tcW w:type="dxa" w:w="5046"/>
            <w:shd w:fill="F7FAFC" w:val="clear"/>
          </w:tcPr>
          <w:p>
            <w:r/>
            <w:r>
              <w:rPr>
                <w:rFonts w:ascii="Calibri" w:hAnsi="Calibri" w:eastAsia="Calibri"/>
                <w:b/>
                <w:color w:val="0A3D7A"/>
                <w:sz w:val="18"/>
              </w:rPr>
              <w:t>LE CLIENT</w:t>
            </w:r>
          </w:p>
          <w:p>
            <w:r>
              <w:rPr>
                <w:rFonts w:ascii="Calibri" w:hAnsi="Calibri" w:eastAsia="Calibri"/>
                <w:b/>
                <w:color w:val="0F1720"/>
                <w:sz w:val="20"/>
              </w:rPr>
              <w:t>SOCIÉTÉ EXEMPLE SA</w:t>
            </w:r>
          </w:p>
          <w:p>
            <w:r>
              <w:rPr>
                <w:rFonts w:ascii="Calibri" w:hAnsi="Calibri" w:eastAsia="Calibri"/>
                <w:b w:val="0"/>
                <w:color w:val="0F1720"/>
                <w:sz w:val="20"/>
              </w:rPr>
              <w:t>Ci-après « le Client »</w:t>
            </w:r>
          </w:p>
          <w:p>
            <w:r>
              <w:rPr>
                <w:rFonts w:ascii="Calibri" w:hAnsi="Calibri" w:eastAsia="Calibri"/>
                <w:b w:val="0"/>
                <w:color w:val="0F1720"/>
                <w:sz w:val="20"/>
              </w:rPr>
              <w:t>Représentée par : M. Jean OKALA</w:t>
            </w:r>
          </w:p>
          <w:p>
            <w:r>
              <w:rPr>
                <w:rFonts w:ascii="Calibri" w:hAnsi="Calibri" w:eastAsia="Calibri"/>
                <w:b w:val="0"/>
                <w:color w:val="0F1720"/>
                <w:sz w:val="20"/>
              </w:rPr>
              <w:t>Qualité : Directeur Administratif &amp; Financier</w:t>
            </w:r>
          </w:p>
        </w:tc>
      </w:tr>
    </w:tbl>
    <w:p/>
    <w:p>
      <w:pPr>
        <w:spacing w:after="120" w:before="160"/>
      </w:pPr>
      <w:r>
        <w:rPr>
          <w:rFonts w:ascii="Calibri" w:hAnsi="Calibri" w:eastAsia="Calibri"/>
          <w:b/>
          <w:color w:val="0A3D7A"/>
          <w:sz w:val="24"/>
        </w:rPr>
        <w:t>Article 1 — Objet</w:t>
      </w:r>
    </w:p>
    <w:p>
      <w:pPr>
        <w:spacing w:after="120" w:before="0"/>
        <w:jc w:val="both"/>
      </w:pPr>
      <w:r>
        <w:rPr>
          <w:rFonts w:ascii="Calibri" w:hAnsi="Calibri" w:eastAsia="Calibri"/>
          <w:b w:val="0"/>
          <w:color w:val="0F1720"/>
          <w:sz w:val="20"/>
        </w:rPr>
        <w:t>Le Prestataire s’engage à fournir au Client des prestations de nettoyage et d’entretien des locaux désignés à l’article 2, conformément aux standards de qualité NECS, au planning convenu et aux annexes techniques jointes (devis, cahier des charges site, SLA).</w:t>
      </w:r>
    </w:p>
    <w:p>
      <w:pPr>
        <w:spacing w:after="120" w:before="160"/>
      </w:pPr>
      <w:r>
        <w:rPr>
          <w:rFonts w:ascii="Calibri" w:hAnsi="Calibri" w:eastAsia="Calibri"/>
          <w:b/>
          <w:color w:val="0A3D7A"/>
          <w:sz w:val="24"/>
        </w:rPr>
        <w:t>Article 2 — Périmètre &amp; sites</w:t>
      </w:r>
    </w:p>
    <w:p>
      <w:pPr>
        <w:spacing w:after="120" w:before="0"/>
        <w:jc w:val="both"/>
      </w:pPr>
      <w:r>
        <w:rPr>
          <w:rFonts w:ascii="Calibri" w:hAnsi="Calibri" w:eastAsia="Calibri"/>
          <w:b w:val="0"/>
          <w:color w:val="0F1720"/>
          <w:sz w:val="20"/>
        </w:rPr>
        <w:t>Site principal : Immeuble Horizon — Douala. Surface contractuelle : 1 850 m². Effectif : 4 agents + 1 chef d’équipe. Fréquence : 5 jours / semaine, 06h00 – 14h00. Prestations incluses : bureaux, circulations, sanitaires, vitrerie intérieure mensuelle, consommables standards. Prestations exclues : après sinistre, après travaux, espaces non listés, sauf avenant.</w:t>
      </w:r>
    </w:p>
    <w:p>
      <w:pPr>
        <w:spacing w:after="120" w:before="160"/>
      </w:pPr>
      <w:r>
        <w:rPr>
          <w:rFonts w:ascii="Calibri" w:hAnsi="Calibri" w:eastAsia="Calibri"/>
          <w:b/>
          <w:color w:val="0A3D7A"/>
          <w:sz w:val="24"/>
        </w:rPr>
        <w:t>Article 3 — Niveau de service (SLA)</w:t>
      </w:r>
    </w:p>
    <w:p>
      <w:pPr>
        <w:spacing w:after="120" w:before="0"/>
        <w:jc w:val="both"/>
      </w:pPr>
      <w:r>
        <w:rPr>
          <w:rFonts w:ascii="Calibri" w:hAnsi="Calibri" w:eastAsia="Calibri"/>
          <w:b w:val="0"/>
          <w:color w:val="0F1720"/>
          <w:sz w:val="20"/>
        </w:rPr>
        <w:t>Score qualité minimal : 85/100. Délai de traitement d’une réclamation : 48 heures ouvrées. Remplacement d’un agent absent : sous 24 heures lorsque techniquement possible. Preuves d’exécution et pointages disponibles dans la plateforme NECS.</w:t>
      </w:r>
    </w:p>
    <w:p>
      <w:pPr>
        <w:spacing w:after="120" w:before="160"/>
      </w:pPr>
      <w:r>
        <w:rPr>
          <w:rFonts w:ascii="Calibri" w:hAnsi="Calibri" w:eastAsia="Calibri"/>
          <w:b/>
          <w:color w:val="0A3D7A"/>
          <w:sz w:val="24"/>
        </w:rPr>
        <w:t>Article 4 — Prix &amp; facturation</w:t>
      </w:r>
    </w:p>
    <w:p>
      <w:pPr>
        <w:spacing w:after="120" w:before="0"/>
        <w:jc w:val="both"/>
      </w:pPr>
      <w:r>
        <w:rPr>
          <w:rFonts w:ascii="Calibri" w:hAnsi="Calibri" w:eastAsia="Calibri"/>
          <w:b w:val="0"/>
          <w:color w:val="0F1720"/>
          <w:sz w:val="20"/>
        </w:rPr>
        <w:t>Le prix mensuel de référence est fixé à 897 000 FCFA HT, selon le devis NECS-DEV-2026-0142. Facturation mensuelle à terme échu, sur prestations réalisées et validées. Règlement à 30 jours par virement. Toute modification de périmètre, d’effectif ou de tarif fait l’objet d’un avenant.</w:t>
      </w:r>
    </w:p>
    <w:p>
      <w:pPr>
        <w:spacing w:after="120" w:before="160"/>
      </w:pPr>
      <w:r>
        <w:rPr>
          <w:rFonts w:ascii="Calibri" w:hAnsi="Calibri" w:eastAsia="Calibri"/>
          <w:b/>
          <w:color w:val="0A3D7A"/>
          <w:sz w:val="24"/>
        </w:rPr>
        <w:t>Article 5 — Durée, renouvellement &amp; résiliation</w:t>
      </w:r>
    </w:p>
    <w:p>
      <w:pPr>
        <w:spacing w:after="120" w:before="0"/>
        <w:jc w:val="both"/>
      </w:pPr>
      <w:r>
        <w:rPr>
          <w:rFonts w:ascii="Calibri" w:hAnsi="Calibri" w:eastAsia="Calibri"/>
          <w:b w:val="0"/>
          <w:color w:val="0F1720"/>
          <w:sz w:val="20"/>
        </w:rPr>
        <w:t>Durée de douze (12) mois à compter du 1er avril 2026, renouvelable par tacite reconduction, sauf dénonciation avec préavis de soixante (60) jours. Résiliation pour manquement grave possible après mise en demeure restée infructueuse pendant quinze (15) jours.</w:t>
      </w:r>
    </w:p>
    <w:p>
      <w:pPr>
        <w:spacing w:after="120" w:before="160"/>
      </w:pPr>
      <w:r>
        <w:rPr>
          <w:rFonts w:ascii="Calibri" w:hAnsi="Calibri" w:eastAsia="Calibri"/>
          <w:b/>
          <w:color w:val="0A3D7A"/>
          <w:sz w:val="24"/>
        </w:rPr>
        <w:t>Article 6 — Obligations des parties</w:t>
      </w:r>
    </w:p>
    <w:p>
      <w:pPr>
        <w:spacing w:after="120" w:before="0"/>
        <w:jc w:val="both"/>
      </w:pPr>
      <w:r>
        <w:rPr>
          <w:rFonts w:ascii="Calibri" w:hAnsi="Calibri" w:eastAsia="Calibri"/>
          <w:b w:val="0"/>
          <w:color w:val="0F1720"/>
          <w:sz w:val="20"/>
        </w:rPr>
        <w:t>Prestataire : moyens adaptés, respect des consignes, confidentialité, assurance RC professionnelle. Client : accès aux locaux, interlocuteur dédié, informations nécessaires, paiement dans les délais.</w:t>
      </w:r>
    </w:p>
    <w:p>
      <w:pPr>
        <w:spacing w:after="120" w:before="160"/>
      </w:pPr>
      <w:r>
        <w:rPr>
          <w:rFonts w:ascii="Calibri" w:hAnsi="Calibri" w:eastAsia="Calibri"/>
          <w:b/>
          <w:color w:val="0A3D7A"/>
          <w:sz w:val="24"/>
        </w:rPr>
        <w:t>Article 7 — Documents constitutifs</w:t>
      </w:r>
    </w:p>
    <w:p>
      <w:pPr>
        <w:spacing w:after="120" w:before="0"/>
        <w:jc w:val="both"/>
      </w:pPr>
      <w:r>
        <w:rPr>
          <w:rFonts w:ascii="Calibri" w:hAnsi="Calibri" w:eastAsia="Calibri"/>
          <w:b w:val="0"/>
          <w:color w:val="0F1720"/>
          <w:sz w:val="20"/>
        </w:rPr>
        <w:t>Font partie intégrante du présent contrat : le devis accepté, les annexes techniques, le planning type, la fiche SLA, et tout avenant ultérieur dûment signé.</w:t>
      </w:r>
    </w:p>
    <w:p>
      <w:pPr>
        <w:spacing w:after="120" w:before="160"/>
      </w:pPr>
      <w:r>
        <w:rPr>
          <w:rFonts w:ascii="Calibri" w:hAnsi="Calibri" w:eastAsia="Calibri"/>
          <w:b w:val="0"/>
          <w:color w:val="0F1720"/>
          <w:sz w:val="20"/>
        </w:rPr>
        <w:t>Fait à Douala, en deux (2) exemplaires originaux, le ________________</w:t>
      </w:r>
    </w:p>
    <w:p>
      <w:pPr>
        <w:spacing w:after="80" w:before="0"/>
      </w:pPr>
    </w:p>
    <w:tbl>
      <w:tblPr>
        <w:tblStyle w:val="TableGrid"/>
        <w:tblW w:type="auto" w:w="0"/>
        <w:tblLook w:firstColumn="1" w:firstRow="1" w:lastColumn="0" w:lastRow="0" w:noHBand="0" w:noVBand="1" w:val="04A0"/>
      </w:tblPr>
      <w:tblGrid>
        <w:gridCol w:w="5046"/>
        <w:gridCol w:w="5046"/>
      </w:tblGrid>
      <w:tr>
        <w:tc>
          <w:tcPr>
            <w:tcW w:type="dxa" w:w="5046"/>
          </w:tcPr>
          <w:p>
            <w:r/>
            <w:r>
              <w:rPr>
                <w:rFonts w:ascii="Calibri" w:hAnsi="Calibri" w:eastAsia="Calibri"/>
                <w:b/>
                <w:color w:val="0A3D7A"/>
                <w:sz w:val="20"/>
              </w:rPr>
              <w:t>Pour le Prestataire — NECS SARL</w:t>
            </w:r>
          </w:p>
          <w:p>
            <w:r>
              <w:rPr>
                <w:rFonts w:ascii="Calibri" w:hAnsi="Calibri" w:eastAsia="Calibri"/>
                <w:b w:val="0"/>
                <w:color w:val="6B7A8D"/>
                <w:sz w:val="18"/>
              </w:rPr>
              <w:t>« Lu et approuvé »</w:t>
            </w:r>
          </w:p>
          <w:p/>
          <w:p/>
          <w:p/>
          <w:p/>
          <w:p>
            <w:r>
              <w:rPr>
                <w:rFonts w:ascii="Calibri" w:hAnsi="Calibri" w:eastAsia="Calibri"/>
                <w:b w:val="0"/>
                <w:color w:val="6B7A8D"/>
                <w:sz w:val="16"/>
              </w:rPr>
              <w:t>Nom, signature &amp; cachet · Date</w:t>
            </w:r>
          </w:p>
        </w:tc>
        <w:tc>
          <w:tcPr>
            <w:tcW w:type="dxa" w:w="5046"/>
          </w:tcPr>
          <w:p>
            <w:r/>
            <w:r>
              <w:rPr>
                <w:rFonts w:ascii="Calibri" w:hAnsi="Calibri" w:eastAsia="Calibri"/>
                <w:b/>
                <w:color w:val="0A3D7A"/>
                <w:sz w:val="20"/>
              </w:rPr>
              <w:t>Pour le Client</w:t>
            </w:r>
          </w:p>
          <w:p>
            <w:r>
              <w:rPr>
                <w:rFonts w:ascii="Calibri" w:hAnsi="Calibri" w:eastAsia="Calibri"/>
                <w:b w:val="0"/>
                <w:color w:val="6B7A8D"/>
                <w:sz w:val="18"/>
              </w:rPr>
              <w:t>« Lu et approuvé »</w:t>
            </w:r>
          </w:p>
          <w:p/>
          <w:p/>
          <w:p/>
          <w:p/>
          <w:p>
            <w:r>
              <w:rPr>
                <w:rFonts w:ascii="Calibri" w:hAnsi="Calibri" w:eastAsia="Calibri"/>
                <w:b w:val="0"/>
                <w:color w:val="6B7A8D"/>
                <w:sz w:val="16"/>
              </w:rPr>
              <w:t>Nom, signature &amp; cachet · Date</w:t>
            </w:r>
          </w:p>
        </w:tc>
      </w:tr>
    </w:tbl>
    <w:p/>
    <w:p>
      <w:pPr>
        <w:spacing w:before="40" w:after="160"/>
        <w:pBdr>
          <w:bottom w:val="single" w:sz="18" w:space="1" w:color="0A3D7A"/>
        </w:pBdr>
      </w:pPr>
    </w:p>
    <w:p>
      <w:pPr>
        <w:spacing w:after="120" w:before="0"/>
        <w:jc w:val="center"/>
      </w:pPr>
      <w:r>
        <w:rPr>
          <w:rFonts w:ascii="Calibri" w:hAnsi="Calibri" w:eastAsia="Calibri"/>
          <w:b w:val="0"/>
          <w:color w:val="6B7A8D"/>
          <w:sz w:val="16"/>
        </w:rPr>
        <w:t>Contrat NECS-CTR-2026-0034 — Document juridique versionné — Toute modification crée un avenant</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