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FACTURE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NECS-FAC-2026-0450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Date : 31 mars 2026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Échéance : 30 avril 2026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Émise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Facture de prestations de nettoyage — Mars 2026</w:t>
      </w:r>
    </w:p>
    <w:p>
      <w:pPr>
        <w:spacing w:after="120" w:before="0"/>
        <w:jc w:val="both"/>
      </w:pPr>
      <w:r>
        <w:rPr>
          <w:rFonts w:ascii="Calibri" w:hAnsi="Calibri" w:eastAsia="Calibri"/>
          <w:b w:val="0"/>
          <w:color w:val="0F1720"/>
          <w:sz w:val="20"/>
        </w:rPr>
        <w:t>Facturation établie conformément au contrat NECS-CTR-2026-0034 et à l’état des prestations validé (préfacture NECS-PF-2026-0112).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F7FAFC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FOURNISSEUR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NECS / NECLEANING &amp; SERVICES SARL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Service Finance &amp; Facturation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finance@necs.cm</w:t>
            </w:r>
          </w:p>
        </w:tc>
        <w:tc>
          <w:tcPr>
            <w:tcW w:type="dxa" w:w="5046"/>
            <w:shd w:fill="F7FAFC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CLIENT FACTURÉ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SOCIÉTÉ EXEMPLE SA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Comptabilité Fournisseurs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Site : Immeuble Horizon — Douala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Réf. client : FOURN-NECS-014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CONTRAT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NECS-CTR-2026-0034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PÉRIODE FACTURÉE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01 au 31 mars 2026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MODE DE PAIEMENT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Virement — 30 jours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RÉFÉRENCE À RAPPELER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NECS-FAC-2026-0450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  <w:shd w:fill="0A3D7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Désignation</w:t>
            </w:r>
          </w:p>
        </w:tc>
        <w:tc>
          <w:tcPr>
            <w:tcW w:type="dxa" w:w="2523"/>
            <w:vAlign w:val="center"/>
            <w:shd w:fill="0A3D7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Qté</w:t>
            </w:r>
          </w:p>
        </w:tc>
        <w:tc>
          <w:tcPr>
            <w:tcW w:type="dxa" w:w="2523"/>
            <w:vAlign w:val="center"/>
            <w:shd w:fill="0A3D7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P.U. HT</w:t>
            </w:r>
          </w:p>
        </w:tc>
        <w:tc>
          <w:tcPr>
            <w:tcW w:type="dxa" w:w="2523"/>
            <w:vAlign w:val="center"/>
            <w:shd w:fill="0A3D7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Total HT</w:t>
            </w:r>
          </w:p>
        </w:tc>
      </w:tr>
      <w:tr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Prestations d’entretien courant (21 j réalisés)</w:t>
            </w:r>
          </w:p>
        </w:tc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21</w:t>
            </w:r>
          </w:p>
        </w:tc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25 000</w:t>
            </w:r>
          </w:p>
        </w:tc>
        <w:tc>
          <w:tcPr>
            <w:tcW w:type="dxa" w:w="2523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525 000</w:t>
            </w:r>
          </w:p>
        </w:tc>
      </w:tr>
      <w:tr>
        <w:tc>
          <w:tcPr>
            <w:tcW w:type="dxa" w:w="2523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Entretien sanitaires — forfait mensuel</w:t>
            </w:r>
          </w:p>
        </w:tc>
        <w:tc>
          <w:tcPr>
            <w:tcW w:type="dxa" w:w="2523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1</w:t>
            </w:r>
          </w:p>
        </w:tc>
        <w:tc>
          <w:tcPr>
            <w:tcW w:type="dxa" w:w="2523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187 000</w:t>
            </w:r>
          </w:p>
        </w:tc>
        <w:tc>
          <w:tcPr>
            <w:tcW w:type="dxa" w:w="2523"/>
            <w:vAlign w:val="center"/>
            <w:shd w:fill="F3F6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187 000</w:t>
            </w:r>
          </w:p>
        </w:tc>
      </w:tr>
      <w:tr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Vitrerie intérieure — passage mensuel</w:t>
            </w:r>
          </w:p>
        </w:tc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1</w:t>
            </w:r>
          </w:p>
        </w:tc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85 000</w:t>
            </w:r>
          </w:p>
        </w:tc>
        <w:tc>
          <w:tcPr>
            <w:tcW w:type="dxa" w:w="2523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85 000</w:t>
            </w:r>
          </w:p>
        </w:tc>
      </w:tr>
      <w:tr>
        <w:tc>
          <w:tcPr>
            <w:tcW w:type="dxa" w:w="2523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Consommables standards — lot mensuel</w:t>
            </w:r>
          </w:p>
        </w:tc>
        <w:tc>
          <w:tcPr>
            <w:tcW w:type="dxa" w:w="2523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1</w:t>
            </w:r>
          </w:p>
        </w:tc>
        <w:tc>
          <w:tcPr>
            <w:tcW w:type="dxa" w:w="2523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75 000</w:t>
            </w:r>
          </w:p>
        </w:tc>
        <w:tc>
          <w:tcPr>
            <w:tcW w:type="dxa" w:w="2523"/>
            <w:vAlign w:val="center"/>
            <w:shd w:fill="F3F6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75 000</w:t>
            </w:r>
          </w:p>
        </w:tc>
      </w:tr>
      <w:tr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Ajustement — jour non réalisé (21/03)</w:t>
            </w:r>
          </w:p>
        </w:tc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1</w:t>
            </w:r>
          </w:p>
        </w:tc>
        <w:tc>
          <w:tcPr>
            <w:tcW w:type="dxa" w:w="252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-25 000</w:t>
            </w:r>
          </w:p>
        </w:tc>
        <w:tc>
          <w:tcPr>
            <w:tcW w:type="dxa" w:w="2523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-25 000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3D4A5C"/>
                <w:sz w:val="20"/>
              </w:rPr>
              <w:t>Total HT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0F1720"/>
                <w:sz w:val="20"/>
              </w:rPr>
              <w:t>847 000 FCFA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3D4A5C"/>
                <w:sz w:val="20"/>
              </w:rPr>
              <w:t>Taxes / TVA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0F1720"/>
                <w:sz w:val="20"/>
              </w:rPr>
              <w:t>Selon régime applicable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3D4A5C"/>
                <w:sz w:val="20"/>
              </w:rPr>
              <w:t>Acomptes déjà perçus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0F1720"/>
                <w:sz w:val="20"/>
              </w:rPr>
              <w:t>0 FCFA</w:t>
            </w:r>
          </w:p>
        </w:tc>
      </w:tr>
      <w:tr>
        <w:tc>
          <w:tcPr>
            <w:tcW w:type="dxa" w:w="5046"/>
            <w:vAlign w:val="center"/>
            <w:shd w:fill="0A3D7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Net à payer</w:t>
            </w:r>
          </w:p>
        </w:tc>
        <w:tc>
          <w:tcPr>
            <w:tcW w:type="dxa" w:w="5046"/>
            <w:vAlign w:val="center"/>
            <w:shd w:fill="2D8A2E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847 000 FCFA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Coordonnées de paiement</w:t>
      </w:r>
    </w:p>
    <w:p>
      <w:pPr>
        <w:spacing w:after="120" w:before="0"/>
      </w:pPr>
      <w:r>
        <w:rPr>
          <w:rFonts w:ascii="Calibri" w:hAnsi="Calibri" w:eastAsia="Calibri"/>
          <w:b w:val="0"/>
          <w:color w:val="0F1720"/>
          <w:sz w:val="20"/>
        </w:rPr>
        <w:t>Banque : [Nom de la banque]</w:t>
      </w:r>
    </w:p>
    <w:p>
      <w:pPr>
        <w:spacing w:after="120" w:before="0"/>
      </w:pPr>
      <w:r>
        <w:rPr>
          <w:rFonts w:ascii="Calibri" w:hAnsi="Calibri" w:eastAsia="Calibri"/>
          <w:b w:val="0"/>
          <w:color w:val="0F1720"/>
          <w:sz w:val="20"/>
        </w:rPr>
        <w:t>Titulaire : NECLEANING &amp; SERVICES SARL</w:t>
      </w:r>
    </w:p>
    <w:p>
      <w:pPr>
        <w:spacing w:after="120" w:before="0"/>
      </w:pPr>
      <w:r>
        <w:rPr>
          <w:rFonts w:ascii="Calibri" w:hAnsi="Calibri" w:eastAsia="Calibri"/>
          <w:b w:val="0"/>
          <w:color w:val="0F1720"/>
          <w:sz w:val="20"/>
        </w:rPr>
        <w:t>N° compte / IBAN : [À compléter]</w:t>
      </w:r>
    </w:p>
    <w:p>
      <w:pPr>
        <w:spacing w:after="120" w:before="0"/>
      </w:pPr>
      <w:r>
        <w:rPr>
          <w:rFonts w:ascii="Calibri" w:hAnsi="Calibri" w:eastAsia="Calibri"/>
          <w:b/>
          <w:color w:val="0F1720"/>
          <w:sz w:val="20"/>
        </w:rPr>
        <w:t>Libellé obligatoire : NECS-FAC-2026-0450 — SOCIÉTÉ EXEMPLE SA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Mentions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En cas de retard de paiement, des pénalités pourront être appliquées conformément au contrat.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Toute réclamation relative à la présente facture doit être notifiée sous huit (8) jours ouvrés.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Un avoir éventuel portera la référence de cette facture.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Service Finance —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Émission &amp; certification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Client — Accusé de réception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Optionnel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NECS-FAC-2026-0450 — Facture originale — Conservez ce document pour votre comptabilité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