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necs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/>
                <w:color w:val="0A3D7A"/>
                <w:sz w:val="36"/>
              </w:rPr>
              <w:t>NECS</w:t>
            </w:r>
          </w:p>
          <w:p>
            <w:r>
              <w:rPr>
                <w:rFonts w:ascii="Calibri" w:hAnsi="Calibri" w:eastAsia="Calibri"/>
                <w:b/>
                <w:color w:val="0F1720"/>
                <w:sz w:val="20"/>
              </w:rPr>
              <w:t>NECLEANING &amp; SERVICES SARL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Propreté · Rigueur · Confiance</w:t>
            </w:r>
          </w:p>
          <w:p>
            <w:r>
              <w:rPr>
                <w:rFonts w:ascii="Calibri" w:hAnsi="Calibri" w:eastAsia="Calibri"/>
                <w:b w:val="0"/>
                <w:color w:val="3D4A5C"/>
                <w:sz w:val="16"/>
              </w:rPr>
              <w:t>Siège : [Adresse — Cameroun]  |  Tél. : [+237 …]  |  Email : contact@necs.cm</w:t>
            </w:r>
          </w:p>
        </w:tc>
        <w:tc>
          <w:tcPr>
            <w:tcW w:type="dxa" w:w="336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2D8A2E"/>
                <w:sz w:val="24"/>
              </w:rPr>
              <w:t>LETTRE / EMAIL DE RELANCE CLIENT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/>
                <w:color w:val="0A3D7A"/>
                <w:sz w:val="20"/>
              </w:rPr>
              <w:t>NECS-REL-2026-0077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Module : Finance / Recouvrement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Statut : Maquette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Version : 1.0</w:t>
            </w:r>
          </w:p>
        </w:tc>
      </w:tr>
    </w:tbl>
    <w:p>
      <w:pPr>
        <w:spacing w:before="40" w:after="160"/>
        <w:pBdr>
          <w:bottom w:val="single" w:sz="18" w:space="1" w:color="0A3D7A"/>
        </w:pBdr>
      </w:pPr>
    </w:p>
    <w:p>
      <w:pPr>
        <w:spacing w:after="200" w:before="0"/>
        <w:jc w:val="center"/>
      </w:pPr>
      <w:r>
        <w:rPr>
          <w:rFonts w:ascii="Calibri" w:hAnsi="Calibri" w:eastAsia="Calibri"/>
          <w:b/>
          <w:color w:val="2D8A2E"/>
          <w:sz w:val="18"/>
        </w:rPr>
        <w:t>SPÉCIMEN — DOCUMENT DE VALIDATION CLIENT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A3D7A"/>
          <w:sz w:val="28"/>
        </w:rPr>
        <w:t>Lettre / email de relance client</w:t>
      </w:r>
    </w:p>
    <w:p>
      <w:pPr>
        <w:spacing w:after="200" w:before="0"/>
        <w:jc w:val="both"/>
      </w:pPr>
      <w:r>
        <w:rPr>
          <w:rFonts w:ascii="Calibri" w:hAnsi="Calibri" w:eastAsia="Calibri"/>
          <w:b w:val="0"/>
          <w:color w:val="3D4A5C"/>
          <w:sz w:val="20"/>
        </w:rPr>
        <w:t>Références factures, montants dus, échéances, historique et niveau de relance.</w:t>
      </w:r>
    </w:p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Champs du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Client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Niveau de relance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Canal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Factures dues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Montant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Objet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Message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</w:tbl>
    <w:p/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Observations / commentaires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Émetteur NECS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Responsable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Destinataire / Validation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Signature &amp; date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</w:tr>
    </w:tbl>
    <w:p/>
    <w:p>
      <w:pPr>
        <w:spacing w:before="40" w:after="160"/>
        <w:pBdr>
          <w:bottom w:val="single" w:sz="18" w:space="1" w:color="0A3D7A"/>
        </w:pBdr>
      </w:pP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6B7A8D"/>
          <w:sz w:val="16"/>
        </w:rPr>
        <w:t>NECS / NECLEANING &amp; SERVICES SARL — NECS-REL-2026-0077 — Template métier pour validation client — Module Finance / Recouvrement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