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ПОЛИТИКА ОБРАБОТКИ ПЕРСОНАЛЬНЫХ ДАННЫХ</w:t>
      </w:r>
    </w:p>
    <w:p>
      <w:pPr>
        <w:jc w:val="center"/>
      </w:pPr>
      <w:r>
        <w:t>Платформа Alliby · Редакция от 20.06.2026</w:t>
      </w:r>
    </w:p>
    <w:p/>
    <w:p>
      <w:r>
        <w:rPr>
          <w:b/>
          <w:sz w:val="24"/>
        </w:rPr>
        <w:t>1. Общие положения</w:t>
      </w:r>
    </w:p>
    <w:p>
      <w:pPr>
        <w:ind w:firstLine="709"/>
      </w:pPr>
      <w:r>
        <w:t>Настоящая Политика обработки персональных данных (далее — «Политика») определяет цели, правовые основания, состав, порядок обработки и защиты персональных данных пользователей платформы Alliby.</w:t>
      </w:r>
    </w:p>
    <w:p>
      <w:pPr/>
      <w:r>
        <w:t>Оператор персональных данных: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Оператор</w:t>
            </w:r>
          </w:p>
        </w:tc>
        <w:tc>
          <w:tcPr>
            <w:tcW w:type="dxa" w:w="4844"/>
          </w:tcPr>
          <w:p>
            <w:r>
              <w:t>ИП Копылов Ярослав Денисович</w:t>
            </w:r>
          </w:p>
        </w:tc>
      </w:tr>
      <w:tr>
        <w:tc>
          <w:tcPr>
            <w:tcW w:type="dxa" w:w="4844"/>
          </w:tcPr>
          <w:p>
            <w:r>
              <w:t>ОГРНИП</w:t>
            </w:r>
          </w:p>
        </w:tc>
        <w:tc>
          <w:tcPr>
            <w:tcW w:type="dxa" w:w="4844"/>
          </w:tcPr>
          <w:p>
            <w:r>
              <w:t>326632700087070</w:t>
            </w:r>
          </w:p>
        </w:tc>
      </w:tr>
      <w:tr>
        <w:tc>
          <w:tcPr>
            <w:tcW w:type="dxa" w:w="4844"/>
          </w:tcPr>
          <w:p>
            <w:r>
              <w:t>ИНН</w:t>
            </w:r>
          </w:p>
        </w:tc>
        <w:tc>
          <w:tcPr>
            <w:tcW w:type="dxa" w:w="4844"/>
          </w:tcPr>
          <w:p>
            <w:r>
              <w:t>631628085405</w:t>
            </w:r>
          </w:p>
        </w:tc>
      </w:tr>
      <w:tr>
        <w:tc>
          <w:tcPr>
            <w:tcW w:type="dxa" w:w="4844"/>
          </w:tcPr>
          <w:p>
            <w:r>
              <w:t>Email</w:t>
            </w:r>
          </w:p>
        </w:tc>
        <w:tc>
          <w:tcPr>
            <w:tcW w:type="dxa" w:w="4844"/>
          </w:tcPr>
          <w:p>
            <w:r>
              <w:t>yarich92@gmail.com</w:t>
            </w:r>
          </w:p>
        </w:tc>
      </w:tr>
      <w:tr>
        <w:tc>
          <w:tcPr>
            <w:tcW w:type="dxa" w:w="4844"/>
          </w:tcPr>
          <w:p>
            <w:r>
              <w:t>Адрес</w:t>
            </w:r>
          </w:p>
        </w:tc>
        <w:tc>
          <w:tcPr>
            <w:tcW w:type="dxa" w:w="4844"/>
          </w:tcPr>
          <w:p>
            <w:r>
              <w:t>446072, Самарская обл., Сызранский р-н, с. Рамено, ул. Лесная, д. 17</w:t>
            </w:r>
          </w:p>
        </w:tc>
      </w:tr>
    </w:tbl>
    <w:p/>
    <w:p>
      <w:r>
        <w:rPr>
          <w:b/>
          <w:sz w:val="24"/>
        </w:rPr>
        <w:t>2. Состав обрабатываемых персональных данных</w:t>
      </w:r>
    </w:p>
    <w:p>
      <w:pPr/>
      <w:r>
        <w:t>Оператор обрабатывает следующие персональные данные пользователей:</w:t>
      </w:r>
    </w:p>
    <w:p>
      <w:pPr>
        <w:pStyle w:val="ListBullet"/>
      </w:pPr>
      <w:r>
        <w:t>Адрес электронной почты (email)</w:t>
      </w:r>
    </w:p>
    <w:p>
      <w:pPr>
        <w:pStyle w:val="ListBullet"/>
      </w:pPr>
      <w:r>
        <w:t>Имя и фамилия (при указании)</w:t>
      </w:r>
    </w:p>
    <w:p>
      <w:pPr>
        <w:pStyle w:val="ListBullet"/>
      </w:pPr>
      <w:r>
        <w:t>Номер телефона (при указании)</w:t>
      </w:r>
    </w:p>
    <w:p>
      <w:pPr>
        <w:pStyle w:val="ListBullet"/>
      </w:pPr>
      <w:r>
        <w:t>Адрес доставки (при указании)</w:t>
      </w:r>
    </w:p>
    <w:p>
      <w:pPr>
        <w:pStyle w:val="ListBullet"/>
      </w:pPr>
      <w:r>
        <w:t>Данные геолокации (при предоставлении разрешения на устройстве)</w:t>
      </w:r>
    </w:p>
    <w:p>
      <w:pPr>
        <w:pStyle w:val="ListBullet"/>
      </w:pPr>
      <w:r>
        <w:t>История заказов, бронирований и абонементов</w:t>
      </w:r>
    </w:p>
    <w:p>
      <w:pPr>
        <w:pStyle w:val="ListBullet"/>
      </w:pPr>
      <w:r>
        <w:t>Технические данные: IP-адрес, user-agent браузера/устройства, cookie сессии</w:t>
      </w:r>
    </w:p>
    <w:p>
      <w:pPr>
        <w:pStyle w:val="ListBullet"/>
      </w:pPr>
      <w:r>
        <w:t>FCM-токен устройства для доставки push-уведомлений (при согласии)</w:t>
      </w:r>
    </w:p>
    <w:p>
      <w:pPr>
        <w:pStyle w:val="ListBullet"/>
      </w:pPr>
      <w:r>
        <w:t>Флаг согласия на получение рекламных уведомлений от заведений</w:t>
      </w:r>
    </w:p>
    <w:p>
      <w:pPr>
        <w:pStyle w:val="ListBullet"/>
      </w:pPr>
      <w:r>
        <w:t>Данные простой электронной подписи: SHA-256-хэш текста договора, user-agent, дата и время подписания</w:t>
      </w:r>
    </w:p>
    <w:p/>
    <w:p>
      <w:r>
        <w:rPr>
          <w:b/>
          <w:sz w:val="24"/>
        </w:rPr>
        <w:t>3. Цели и правовые основания обработки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Правовое основание</w:t>
            </w:r>
          </w:p>
        </w:tc>
      </w:tr>
      <w:tr>
        <w:tc>
          <w:tcPr>
            <w:tcW w:type="dxa" w:w="3230"/>
          </w:tcPr>
          <w:p>
            <w:r>
              <w:t>Исполнение договора</w:t>
            </w:r>
          </w:p>
        </w:tc>
        <w:tc>
          <w:tcPr>
            <w:tcW w:type="dxa" w:w="3230"/>
          </w:tcPr>
          <w:p>
            <w:r>
              <w:t>Создание и ведение учётной записи; приём, обработка и исполнение заказов</w:t>
            </w:r>
          </w:p>
        </w:tc>
        <w:tc>
          <w:tcPr>
            <w:tcW w:type="dxa" w:w="3230"/>
          </w:tcPr>
          <w:p>
            <w:r>
              <w:t>Ст. 6 ч. 1 п. 5 ФЗ-152 (договор)</w:t>
            </w:r>
          </w:p>
        </w:tc>
      </w:tr>
      <w:tr>
        <w:tc>
          <w:tcPr>
            <w:tcW w:type="dxa" w:w="3230"/>
          </w:tcPr>
          <w:p>
            <w:r>
              <w:t>Уведомления о заказах</w:t>
            </w:r>
          </w:p>
        </w:tc>
        <w:tc>
          <w:tcPr>
            <w:tcW w:type="dxa" w:w="3230"/>
          </w:tcPr>
          <w:p>
            <w:r>
              <w:t>Отправка push-уведомлений об изменении статуса заказа через FCM</w:t>
            </w:r>
          </w:p>
        </w:tc>
        <w:tc>
          <w:tcPr>
            <w:tcW w:type="dxa" w:w="3230"/>
          </w:tcPr>
          <w:p>
            <w:r>
              <w:t>Ст. 6 ч. 1 п. 5 ФЗ-152 (договор)</w:t>
            </w:r>
          </w:p>
        </w:tc>
      </w:tr>
      <w:tr>
        <w:tc>
          <w:tcPr>
            <w:tcW w:type="dxa" w:w="3230"/>
          </w:tcPr>
          <w:p>
            <w:r>
              <w:t>Рекламные уведомления</w:t>
            </w:r>
          </w:p>
        </w:tc>
        <w:tc>
          <w:tcPr>
            <w:tcW w:type="dxa" w:w="3230"/>
          </w:tcPr>
          <w:p>
            <w:r>
              <w:t>Отправка промо-рассылок от заведений — только при явном согласии</w:t>
            </w:r>
          </w:p>
        </w:tc>
        <w:tc>
          <w:tcPr>
            <w:tcW w:type="dxa" w:w="3230"/>
          </w:tcPr>
          <w:p>
            <w:r>
              <w:t>Ст. 6 ч. 1 п. 1 ФЗ-152 (согласие); ФЗ-38</w:t>
            </w:r>
          </w:p>
        </w:tc>
      </w:tr>
      <w:tr>
        <w:tc>
          <w:tcPr>
            <w:tcW w:type="dxa" w:w="3230"/>
          </w:tcPr>
          <w:p>
            <w:r>
              <w:t>Юридические обязанности</w:t>
            </w:r>
          </w:p>
        </w:tc>
        <w:tc>
          <w:tcPr>
            <w:tcW w:type="dxa" w:w="3230"/>
          </w:tcPr>
          <w:p>
            <w:r>
              <w:t>Хранение данных ЭП (ФЗ-63, 5 лет) и транзакционной истории (ФЗ-402, 5 лет)</w:t>
            </w:r>
          </w:p>
        </w:tc>
        <w:tc>
          <w:tcPr>
            <w:tcW w:type="dxa" w:w="3230"/>
          </w:tcPr>
          <w:p>
            <w:r>
              <w:t>Ст. 6 ч. 1 п. 3 ФЗ-152</w:t>
            </w:r>
          </w:p>
        </w:tc>
      </w:tr>
      <w:tr>
        <w:tc>
          <w:tcPr>
            <w:tcW w:type="dxa" w:w="3230"/>
          </w:tcPr>
          <w:p>
            <w:r>
              <w:t>Безопасность</w:t>
            </w:r>
          </w:p>
        </w:tc>
        <w:tc>
          <w:tcPr>
            <w:tcW w:type="dxa" w:w="3230"/>
          </w:tcPr>
          <w:p>
            <w:r>
              <w:t>Защита от несанкционированного доступа; ведение технических журналов</w:t>
            </w:r>
          </w:p>
        </w:tc>
        <w:tc>
          <w:tcPr>
            <w:tcW w:type="dxa" w:w="3230"/>
          </w:tcPr>
          <w:p>
            <w:r>
              <w:t>Ст. 6 ч. 1 п. 5 ФЗ-152</w:t>
            </w:r>
          </w:p>
        </w:tc>
      </w:tr>
    </w:tbl>
    <w:p/>
    <w:p>
      <w:r>
        <w:rPr>
          <w:b/>
          <w:sz w:val="24"/>
        </w:rPr>
        <w:t>4. Передача персональных данных третьим лицам</w:t>
      </w:r>
    </w:p>
    <w:p>
      <w:pPr/>
      <w:r>
        <w:t>Оператор передаёт персональные данные следующим третьим лицам:</w:t>
      </w:r>
    </w:p>
    <w:p>
      <w:pPr>
        <w:pStyle w:val="ListBullet"/>
      </w:pPr>
      <w:r>
        <w:t>Банк-эквайер Продавца — платёжные и идентификационные данные, необходимые для проведения расчётной операции (правовое основание: исполнение договора).</w:t>
      </w:r>
    </w:p>
    <w:p>
      <w:pPr>
        <w:pStyle w:val="ListBullet"/>
      </w:pPr>
      <w:r>
        <w:t>Google LLC (Firebase Cloud Messaging, США) — FCM-токен устройства для доставки push-уведомлений (правовое основание: ст. 12 ч. 4 п. 2 ФЗ-152 — необходимость исполнения договора).</w:t>
      </w:r>
    </w:p>
    <w:p>
      <w:pPr>
        <w:pStyle w:val="ListBullet"/>
      </w:pPr>
      <w:r>
        <w:t>Государственные органы Российской Федерации — по основаниям и в порядке, предусмотренном законодательством РФ.</w:t>
      </w:r>
    </w:p>
    <w:p/>
    <w:p>
      <w:r>
        <w:rPr>
          <w:b/>
          <w:sz w:val="24"/>
        </w:rPr>
        <w:t>5. Трансграничная передача персональных данных</w:t>
      </w:r>
    </w:p>
    <w:p>
      <w:pPr>
        <w:ind w:firstLine="709"/>
      </w:pPr>
      <w:r>
        <w:t>FCM-токен пользователя передаётся компании Google LLC (США). США не включены в перечень государств, обеспечивающих адекватную защиту персональных данных, утверждённый Роскомнадзором.</w:t>
      </w:r>
    </w:p>
    <w:p>
      <w:pPr>
        <w:ind w:firstLine="709"/>
      </w:pPr>
      <w:r>
        <w:t>Правовое основание передачи: статья 12 часть 4 пункт 2 Федерального закона № 152-ФЗ — передача необходима для исполнения договора, стороной которого является субъект персональных данных.</w:t>
      </w:r>
    </w:p>
    <w:p>
      <w:pPr>
        <w:ind w:firstLine="709"/>
      </w:pPr>
      <w:r>
        <w:t>Пользователь вправе в любое время отказаться от передачи FCM-токена, отключив push-уведомления в настройках операционной системы устройства.</w:t>
      </w:r>
    </w:p>
    <w:p/>
    <w:p>
      <w:r>
        <w:rPr>
          <w:b/>
          <w:sz w:val="24"/>
        </w:rPr>
        <w:t>6. Права пользователя</w:t>
      </w:r>
    </w:p>
    <w:p>
      <w:pPr/>
      <w:r>
        <w:t>В соответствии со статьями 14–17 Федерального закона № 152-ФЗ пользователь вправе:</w:t>
      </w:r>
    </w:p>
    <w:p>
      <w:pPr>
        <w:pStyle w:val="ListBullet"/>
      </w:pPr>
      <w:r>
        <w:t>Получить сведения о составе и целях обработки своих персональных данных (ответ в течение 30 календарных дней).</w:t>
      </w:r>
    </w:p>
    <w:p>
      <w:pPr>
        <w:pStyle w:val="ListBullet"/>
      </w:pPr>
      <w:r>
        <w:t>Потребовать исправления неточных или неполных персональных данных.</w:t>
      </w:r>
    </w:p>
    <w:p>
      <w:pPr>
        <w:pStyle w:val="ListBullet"/>
      </w:pPr>
      <w:r>
        <w:t>Потребовать удаления персональных данных — через функцию «Удалить аккаунт» в приложении или по email.</w:t>
      </w:r>
    </w:p>
    <w:p>
      <w:pPr>
        <w:pStyle w:val="ListBullet"/>
      </w:pPr>
      <w:r>
        <w:t>Отозвать согласие на обработку персональных данных — по email yarich92@gmail.com.</w:t>
      </w:r>
    </w:p>
    <w:p>
      <w:pPr>
        <w:pStyle w:val="ListBullet"/>
      </w:pPr>
      <w:r>
        <w:t>Подать жалобу на действия Оператора в Роскомнадзор: rkn.gov.ru.</w:t>
      </w:r>
    </w:p>
    <w:p/>
    <w:p>
      <w:r>
        <w:rPr>
          <w:b/>
          <w:sz w:val="24"/>
        </w:rPr>
        <w:t>7. Сроки хранения персональных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Категория данных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Срок хранения</w:t>
            </w:r>
          </w:p>
        </w:tc>
      </w:tr>
      <w:tr>
        <w:tc>
          <w:tcPr>
            <w:tcW w:type="dxa" w:w="4844"/>
          </w:tcPr>
          <w:p>
            <w:r>
              <w:t>Данные учётной записи, история заказов</w:t>
            </w:r>
          </w:p>
        </w:tc>
        <w:tc>
          <w:tcPr>
            <w:tcW w:type="dxa" w:w="4844"/>
          </w:tcPr>
          <w:p>
            <w:r>
              <w:t>До удаления аккаунта пользователем или 3 года с даты последней активности</w:t>
            </w:r>
          </w:p>
        </w:tc>
      </w:tr>
      <w:tr>
        <w:tc>
          <w:tcPr>
            <w:tcW w:type="dxa" w:w="4844"/>
          </w:tcPr>
          <w:p>
            <w:r>
              <w:t>Данные простой электронной подписи (хэш договора, user-agent, timestamp)</w:t>
            </w:r>
          </w:p>
        </w:tc>
        <w:tc>
          <w:tcPr>
            <w:tcW w:type="dxa" w:w="4844"/>
          </w:tcPr>
          <w:p>
            <w:r>
              <w:t>5 лет (ФЗ-63 «Об электронной подписи»)</w:t>
            </w:r>
          </w:p>
        </w:tc>
      </w:tr>
      <w:tr>
        <w:tc>
          <w:tcPr>
            <w:tcW w:type="dxa" w:w="4844"/>
          </w:tcPr>
          <w:p>
            <w:r>
              <w:t>Транзакционная история</w:t>
            </w:r>
          </w:p>
        </w:tc>
        <w:tc>
          <w:tcPr>
            <w:tcW w:type="dxa" w:w="4844"/>
          </w:tcPr>
          <w:p>
            <w:r>
              <w:t>5 лет (ФЗ-402 «О бухгалтерском учёте»)</w:t>
            </w:r>
          </w:p>
        </w:tc>
      </w:tr>
      <w:tr>
        <w:tc>
          <w:tcPr>
            <w:tcW w:type="dxa" w:w="4844"/>
          </w:tcPr>
          <w:p>
            <w:r>
              <w:t>FCM-токен</w:t>
            </w:r>
          </w:p>
        </w:tc>
        <w:tc>
          <w:tcPr>
            <w:tcW w:type="dxa" w:w="4844"/>
          </w:tcPr>
          <w:p>
            <w:r>
              <w:t>До удаления аккаунта или отзыва согласия</w:t>
            </w:r>
          </w:p>
        </w:tc>
      </w:tr>
    </w:tbl>
    <w:p/>
    <w:p>
      <w:r>
        <w:rPr>
          <w:b/>
          <w:sz w:val="24"/>
        </w:rPr>
        <w:t>8. Защита персональных данных</w:t>
      </w:r>
    </w:p>
    <w:p>
      <w:pPr/>
      <w:r>
        <w:t>Оператор принимает следующие организационные и технические меры защиты:</w:t>
      </w:r>
    </w:p>
    <w:p>
      <w:pPr>
        <w:pStyle w:val="ListBullet"/>
      </w:pPr>
      <w:r>
        <w:t>Хранение данных на серверах, расположенных на территории Российской Федерации (Москва).</w:t>
      </w:r>
    </w:p>
    <w:p>
      <w:pPr>
        <w:pStyle w:val="ListBullet"/>
      </w:pPr>
      <w:r>
        <w:t>Шифрование соединений HTTPS/TLS на всех страницах.</w:t>
      </w:r>
    </w:p>
    <w:p>
      <w:pPr>
        <w:pStyle w:val="ListBullet"/>
      </w:pPr>
      <w:r>
        <w:t>Разграничение доступа на уровне строк базы данных (Row Level Security, PostgreSQL).</w:t>
      </w:r>
    </w:p>
    <w:p>
      <w:pPr>
        <w:pStyle w:val="ListBullet"/>
      </w:pPr>
      <w:r>
        <w:t>Пароли хранятся исключительно в виде bcrypt-хэша; исходный пароль не хранится.</w:t>
      </w:r>
    </w:p>
    <w:p>
      <w:pPr>
        <w:pStyle w:val="ListBullet"/>
      </w:pPr>
      <w:r>
        <w:t>Межсетевой экран UFW, Nginx rate limiting, Kong rate-limit.</w:t>
      </w:r>
    </w:p>
    <w:p>
      <w:pPr>
        <w:pStyle w:val="ListBullet"/>
      </w:pPr>
      <w:r>
        <w:t>SSH-доступ к серверу только по ключу, на нестандартном порту.</w:t>
      </w:r>
    </w:p>
    <w:p/>
    <w:p>
      <w:r>
        <w:rPr>
          <w:b/>
          <w:sz w:val="24"/>
        </w:rPr>
        <w:t>9. Возраст пользователей</w:t>
      </w:r>
    </w:p>
    <w:p>
      <w:pPr>
        <w:ind w:firstLine="709"/>
      </w:pPr>
      <w:r>
        <w:t>Платформа предназначена для лиц в возрасте от 14 лет. Лица в возрасте от 14 до 18 лет вправе пользоваться платформой при наличии согласия законных представителей в соответствии со статьёй 9 частью 5 Федерального закона № 152-ФЗ.</w:t>
      </w:r>
    </w:p>
    <w:p/>
    <w:p>
      <w:r>
        <w:rPr>
          <w:b/>
          <w:sz w:val="24"/>
        </w:rPr>
        <w:t>10. Изменение Политики</w:t>
      </w:r>
    </w:p>
    <w:p>
      <w:pPr>
        <w:ind w:firstLine="709"/>
      </w:pPr>
      <w:r>
        <w:t>Оператор вправе вносить изменения в настоящую Политику. Актуальная версия размещается по адресу: https://site.alliby.ru/privacy. Дата вступления изменений в силу указывается в заголовке Политики.</w:t>
      </w:r>
    </w:p>
    <w:p/>
    <w:p>
      <w:pPr/>
      <w:r>
        <w:t>Дата последнего обновления: 20 июня 2026 г.</w:t>
      </w:r>
    </w:p>
    <w:p>
      <w:pPr/>
      <w:r>
        <w:t>Контакт для обращений по вопросам обработки персональных данных: yarich92@gmail.com</w:t>
      </w:r>
    </w:p>
    <w:sectPr w:rsidR="00FC693F" w:rsidRPr="0006063C" w:rsidSect="00034616">
      <w:pgSz w:w="12240" w:h="15840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