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rPr>
          <w:rFonts w:asciiTheme="minorEastAsia" w:hAnsiTheme="minorEastAsia"/>
          <w:b/>
          <w:sz w:val="30"/>
          <w:szCs w:val="30"/>
        </w:rPr>
      </w:pPr>
      <w:r>
        <w:rPr>
          <w:rFonts w:hint="eastAsia" w:asciiTheme="minorEastAsia" w:hAnsiTheme="minorEastAsia"/>
          <w:b/>
          <w:sz w:val="30"/>
          <w:szCs w:val="30"/>
        </w:rPr>
        <w:t>上海财经大学管理科学与工程一级学科博士研究生</w:t>
      </w:r>
    </w:p>
    <w:p>
      <w:pPr>
        <w:spacing w:line="360" w:lineRule="auto"/>
        <w:jc w:val="center"/>
        <w:rPr>
          <w:rFonts w:asciiTheme="minorEastAsia" w:hAnsiTheme="minorEastAsia"/>
          <w:b/>
          <w:sz w:val="30"/>
          <w:szCs w:val="30"/>
        </w:rPr>
      </w:pPr>
      <w:r>
        <w:rPr>
          <w:rFonts w:hint="eastAsia" w:asciiTheme="minorEastAsia" w:hAnsiTheme="minorEastAsia"/>
          <w:b/>
          <w:sz w:val="30"/>
          <w:szCs w:val="30"/>
        </w:rPr>
        <w:t>科学研究工作和学术创新性成果要求与认定细则</w:t>
      </w:r>
    </w:p>
    <w:p>
      <w:pPr>
        <w:spacing w:line="360" w:lineRule="auto"/>
        <w:rPr>
          <w:rFonts w:asciiTheme="minorEastAsia" w:hAnsiTheme="minorEastAsia"/>
          <w:b/>
          <w:sz w:val="24"/>
          <w:szCs w:val="24"/>
        </w:rPr>
      </w:pPr>
    </w:p>
    <w:p>
      <w:pPr>
        <w:spacing w:line="360" w:lineRule="auto"/>
        <w:ind w:firstLine="480" w:firstLineChars="200"/>
        <w:rPr>
          <w:rFonts w:asciiTheme="minorEastAsia" w:hAnsiTheme="minorEastAsia"/>
          <w:sz w:val="24"/>
          <w:szCs w:val="24"/>
        </w:rPr>
      </w:pPr>
      <w:r>
        <w:rPr>
          <w:rFonts w:hint="eastAsia" w:asciiTheme="minorEastAsia" w:hAnsiTheme="minorEastAsia"/>
          <w:sz w:val="24"/>
          <w:szCs w:val="24"/>
        </w:rPr>
        <w:t>为贯彻落实新时代教育评价改革精神</w:t>
      </w:r>
      <w:bookmarkStart w:id="0" w:name="_GoBack"/>
      <w:bookmarkEnd w:id="0"/>
      <w:r>
        <w:rPr>
          <w:rFonts w:hint="eastAsia" w:asciiTheme="minorEastAsia" w:hAnsiTheme="minorEastAsia"/>
          <w:sz w:val="24"/>
          <w:szCs w:val="24"/>
        </w:rPr>
        <w:t>，强化研究生教育对国家区域重大战略的重要支撑作用，为树立科学、正确的学术价值观，强化立德树人职责落实，创新评价方式，加强流程管控，切实提升管理科学与工程一级学科博士研究生的科研创新能力和学位授予质量，</w:t>
      </w:r>
      <w:r>
        <w:rPr>
          <w:rFonts w:hint="eastAsia" w:ascii="宋体" w:hAnsi="宋体" w:eastAsia="宋体"/>
          <w:sz w:val="24"/>
          <w:szCs w:val="24"/>
        </w:rPr>
        <w:t>根据《</w:t>
      </w:r>
      <w:r>
        <w:rPr>
          <w:rFonts w:ascii="宋体" w:hAnsi="宋体" w:eastAsia="宋体"/>
          <w:sz w:val="24"/>
          <w:szCs w:val="24"/>
        </w:rPr>
        <w:t>上海财经大学关于博士研究生科学研究工作和创新性成果评价与要求</w:t>
      </w:r>
      <w:r>
        <w:rPr>
          <w:rFonts w:hint="eastAsia" w:ascii="宋体" w:hAnsi="宋体" w:eastAsia="宋体"/>
          <w:sz w:val="24"/>
          <w:szCs w:val="24"/>
        </w:rPr>
        <w:t>的指导意见》</w:t>
      </w:r>
      <w:r>
        <w:rPr>
          <w:rFonts w:ascii="宋体" w:hAnsi="宋体" w:eastAsia="宋体"/>
          <w:sz w:val="24"/>
          <w:szCs w:val="24"/>
        </w:rPr>
        <w:t>，</w:t>
      </w:r>
      <w:r>
        <w:rPr>
          <w:rFonts w:hint="eastAsia" w:asciiTheme="minorEastAsia" w:hAnsiTheme="minorEastAsia"/>
          <w:sz w:val="24"/>
          <w:szCs w:val="24"/>
        </w:rPr>
        <w:t>结合学院实际，制定本细则。</w:t>
      </w:r>
    </w:p>
    <w:p>
      <w:pPr>
        <w:spacing w:line="360" w:lineRule="auto"/>
        <w:rPr>
          <w:rFonts w:asciiTheme="minorEastAsia" w:hAnsiTheme="minorEastAsia"/>
          <w:b/>
          <w:sz w:val="24"/>
          <w:szCs w:val="24"/>
        </w:rPr>
      </w:pPr>
      <w:r>
        <w:rPr>
          <w:rFonts w:hint="eastAsia" w:asciiTheme="minorEastAsia" w:hAnsiTheme="minorEastAsia"/>
          <w:b/>
          <w:sz w:val="24"/>
          <w:szCs w:val="24"/>
        </w:rPr>
        <w:t>第一条 基本要求</w:t>
      </w:r>
    </w:p>
    <w:p>
      <w:pPr>
        <w:spacing w:line="360" w:lineRule="auto"/>
        <w:ind w:firstLine="480" w:firstLineChars="200"/>
        <w:rPr>
          <w:rFonts w:asciiTheme="minorEastAsia" w:hAnsiTheme="minorEastAsia"/>
          <w:sz w:val="24"/>
          <w:szCs w:val="24"/>
        </w:rPr>
      </w:pPr>
      <w:r>
        <w:rPr>
          <w:rFonts w:hint="eastAsia" w:asciiTheme="minorEastAsia" w:hAnsiTheme="minorEastAsia"/>
          <w:sz w:val="24"/>
          <w:szCs w:val="24"/>
        </w:rPr>
        <w:t xml:space="preserve">管理科学与工程学科一级学科博士研究生，完成培养计划规定课程与培养环节，通过课程考试或考核，学分达标，通过学科综合考试、完成开题报告、中期测评、预答辩、论文盲审及答辩等环节，成绩合格，达到下述条件者，可申请博士学位： </w:t>
      </w:r>
    </w:p>
    <w:p>
      <w:pPr>
        <w:spacing w:line="360" w:lineRule="auto"/>
        <w:ind w:firstLine="480" w:firstLineChars="200"/>
        <w:rPr>
          <w:rFonts w:asciiTheme="minorEastAsia" w:hAnsiTheme="minorEastAsia"/>
          <w:sz w:val="24"/>
          <w:szCs w:val="24"/>
        </w:rPr>
      </w:pPr>
      <w:r>
        <w:rPr>
          <w:rFonts w:hint="eastAsia" w:asciiTheme="minorEastAsia" w:hAnsiTheme="minorEastAsia"/>
          <w:sz w:val="24"/>
          <w:szCs w:val="24"/>
        </w:rPr>
        <w:t xml:space="preserve">（一）在掌握本学科坚实宽广的基础理论和系统深入的专门知识； </w:t>
      </w:r>
    </w:p>
    <w:p>
      <w:pPr>
        <w:spacing w:line="360" w:lineRule="auto"/>
        <w:ind w:firstLine="480" w:firstLineChars="200"/>
        <w:rPr>
          <w:rFonts w:asciiTheme="minorEastAsia" w:hAnsiTheme="minorEastAsia"/>
          <w:sz w:val="24"/>
          <w:szCs w:val="24"/>
        </w:rPr>
      </w:pPr>
      <w:r>
        <w:rPr>
          <w:rFonts w:hint="eastAsia" w:asciiTheme="minorEastAsia" w:hAnsiTheme="minorEastAsia"/>
          <w:sz w:val="24"/>
          <w:szCs w:val="24"/>
        </w:rPr>
        <w:t xml:space="preserve">（二）具有独立从事科学研究工作的能力； </w:t>
      </w:r>
    </w:p>
    <w:p>
      <w:pPr>
        <w:spacing w:line="360" w:lineRule="auto"/>
        <w:ind w:firstLine="480" w:firstLineChars="200"/>
        <w:rPr>
          <w:rFonts w:asciiTheme="minorEastAsia" w:hAnsiTheme="minorEastAsia"/>
          <w:sz w:val="24"/>
          <w:szCs w:val="24"/>
        </w:rPr>
      </w:pPr>
      <w:r>
        <w:rPr>
          <w:rFonts w:hint="eastAsia" w:asciiTheme="minorEastAsia" w:hAnsiTheme="minorEastAsia"/>
          <w:sz w:val="24"/>
          <w:szCs w:val="24"/>
        </w:rPr>
        <w:t>（三）在科学或专门技术上做出创造性的成果。</w:t>
      </w:r>
    </w:p>
    <w:p>
      <w:pPr>
        <w:spacing w:line="360" w:lineRule="auto"/>
        <w:rPr>
          <w:rFonts w:asciiTheme="minorEastAsia" w:hAnsiTheme="minorEastAsia"/>
          <w:b/>
          <w:sz w:val="24"/>
          <w:szCs w:val="24"/>
        </w:rPr>
      </w:pPr>
      <w:r>
        <w:rPr>
          <w:rFonts w:hint="eastAsia" w:asciiTheme="minorEastAsia" w:hAnsiTheme="minorEastAsia"/>
          <w:b/>
          <w:sz w:val="24"/>
          <w:szCs w:val="24"/>
        </w:rPr>
        <w:t>第二条 学术创新能力的全过程培养</w:t>
      </w:r>
    </w:p>
    <w:p>
      <w:pPr>
        <w:spacing w:line="360" w:lineRule="auto"/>
        <w:ind w:firstLine="480" w:firstLineChars="200"/>
        <w:rPr>
          <w:rFonts w:ascii="宋体" w:hAnsi="宋体" w:eastAsia="宋体" w:cs="宋体"/>
          <w:bCs/>
          <w:sz w:val="24"/>
          <w:szCs w:val="24"/>
        </w:rPr>
      </w:pPr>
      <w:r>
        <w:rPr>
          <w:rFonts w:ascii="宋体" w:hAnsi="宋体" w:eastAsia="宋体" w:cs="宋体"/>
          <w:bCs/>
          <w:sz w:val="24"/>
          <w:szCs w:val="24"/>
        </w:rPr>
        <w:t>博士研究生指导实行导师负责制</w:t>
      </w:r>
      <w:r>
        <w:rPr>
          <w:rFonts w:hint="eastAsia" w:ascii="宋体" w:hAnsi="宋体" w:eastAsia="宋体" w:cs="宋体"/>
          <w:bCs/>
          <w:sz w:val="24"/>
          <w:szCs w:val="24"/>
        </w:rPr>
        <w:t>。</w:t>
      </w:r>
    </w:p>
    <w:p>
      <w:pPr>
        <w:spacing w:line="360" w:lineRule="auto"/>
        <w:rPr>
          <w:rFonts w:ascii="宋体" w:hAnsi="宋体" w:eastAsia="宋体" w:cs="宋体"/>
          <w:b/>
          <w:bCs/>
          <w:sz w:val="24"/>
          <w:szCs w:val="24"/>
        </w:rPr>
      </w:pPr>
      <w:r>
        <w:rPr>
          <w:rFonts w:hint="eastAsia" w:ascii="宋体" w:hAnsi="宋体" w:eastAsia="宋体" w:cs="宋体"/>
          <w:b/>
          <w:bCs/>
          <w:sz w:val="24"/>
          <w:szCs w:val="24"/>
        </w:rPr>
        <w:t>（一）科学研究工作计划</w:t>
      </w:r>
    </w:p>
    <w:p>
      <w:pPr>
        <w:spacing w:line="360" w:lineRule="auto"/>
        <w:ind w:firstLine="480" w:firstLineChars="200"/>
        <w:rPr>
          <w:rFonts w:asciiTheme="minorEastAsia" w:hAnsiTheme="minorEastAsia"/>
          <w:b/>
          <w:sz w:val="24"/>
          <w:szCs w:val="24"/>
        </w:rPr>
      </w:pPr>
      <w:r>
        <w:rPr>
          <w:rFonts w:hint="eastAsia" w:ascii="宋体" w:hAnsi="宋体" w:eastAsia="宋体" w:cs="宋体"/>
          <w:bCs/>
          <w:sz w:val="24"/>
          <w:szCs w:val="24"/>
        </w:rPr>
        <w:t>博士研究生在确定导师后，在导师指导下,拟定合理的科学研究工作计划。科学研究工作计划应围绕提高博士研究生科研能力,对博士学位论文工作研究的选题、文献研读任务、科研进展的步骤、各个阶段的内容和需求等做出明确的说明。</w:t>
      </w:r>
    </w:p>
    <w:p>
      <w:pPr>
        <w:spacing w:line="360" w:lineRule="auto"/>
        <w:rPr>
          <w:rFonts w:asciiTheme="minorEastAsia" w:hAnsiTheme="minorEastAsia"/>
          <w:b/>
          <w:sz w:val="24"/>
          <w:szCs w:val="24"/>
        </w:rPr>
      </w:pPr>
      <w:r>
        <w:rPr>
          <w:rFonts w:hint="eastAsia" w:asciiTheme="minorEastAsia" w:hAnsiTheme="minorEastAsia"/>
          <w:b/>
          <w:sz w:val="24"/>
          <w:szCs w:val="24"/>
        </w:rPr>
        <w:t xml:space="preserve">（二）学业进展报告 </w:t>
      </w:r>
    </w:p>
    <w:p>
      <w:pPr>
        <w:spacing w:line="360" w:lineRule="auto"/>
        <w:ind w:firstLine="480" w:firstLineChars="200"/>
        <w:rPr>
          <w:rFonts w:asciiTheme="minorEastAsia" w:hAnsiTheme="minorEastAsia"/>
          <w:sz w:val="24"/>
          <w:szCs w:val="24"/>
        </w:rPr>
      </w:pPr>
      <w:r>
        <w:rPr>
          <w:rFonts w:hint="eastAsia" w:asciiTheme="minorEastAsia" w:hAnsiTheme="minorEastAsia"/>
          <w:sz w:val="24"/>
          <w:szCs w:val="24"/>
        </w:rPr>
        <w:t>通过学科综合考试后，博士研究生须于每学期末提交“学业进展报告”，须至少涵盖如下内容：</w:t>
      </w:r>
    </w:p>
    <w:p>
      <w:pPr>
        <w:spacing w:line="360" w:lineRule="auto"/>
        <w:ind w:firstLine="480" w:firstLineChars="200"/>
        <w:rPr>
          <w:rFonts w:asciiTheme="minorEastAsia" w:hAnsiTheme="minorEastAsia"/>
          <w:sz w:val="24"/>
          <w:szCs w:val="24"/>
        </w:rPr>
      </w:pPr>
      <w:r>
        <w:rPr>
          <w:rFonts w:hint="eastAsia" w:asciiTheme="minorEastAsia" w:hAnsiTheme="minorEastAsia"/>
          <w:sz w:val="24"/>
          <w:szCs w:val="24"/>
        </w:rPr>
        <w:t>（1）与导师沟通交流情况（频次、具体形式等）；</w:t>
      </w:r>
    </w:p>
    <w:p>
      <w:pPr>
        <w:spacing w:line="360" w:lineRule="auto"/>
        <w:ind w:firstLine="480" w:firstLineChars="200"/>
        <w:rPr>
          <w:rFonts w:asciiTheme="minorEastAsia" w:hAnsiTheme="minorEastAsia"/>
          <w:sz w:val="24"/>
          <w:szCs w:val="24"/>
        </w:rPr>
      </w:pPr>
      <w:r>
        <w:rPr>
          <w:rFonts w:hint="eastAsia" w:asciiTheme="minorEastAsia" w:hAnsiTheme="minorEastAsia"/>
          <w:sz w:val="24"/>
          <w:szCs w:val="24"/>
        </w:rPr>
        <w:t>（2）课程完成情况及学习成绩；</w:t>
      </w:r>
    </w:p>
    <w:p>
      <w:pPr>
        <w:spacing w:line="360" w:lineRule="auto"/>
        <w:ind w:firstLine="480" w:firstLineChars="200"/>
        <w:rPr>
          <w:rFonts w:asciiTheme="minorEastAsia" w:hAnsiTheme="minorEastAsia"/>
          <w:sz w:val="24"/>
          <w:szCs w:val="24"/>
        </w:rPr>
      </w:pPr>
      <w:r>
        <w:rPr>
          <w:rFonts w:hint="eastAsia" w:asciiTheme="minorEastAsia" w:hAnsiTheme="minorEastAsia"/>
          <w:sz w:val="24"/>
          <w:szCs w:val="24"/>
        </w:rPr>
        <w:t>（3）学位论文工作进展（成果、问题、困难、困惑等）；</w:t>
      </w:r>
    </w:p>
    <w:p>
      <w:pPr>
        <w:spacing w:line="360" w:lineRule="auto"/>
        <w:ind w:firstLine="480" w:firstLineChars="200"/>
        <w:rPr>
          <w:rFonts w:asciiTheme="minorEastAsia" w:hAnsiTheme="minorEastAsia"/>
          <w:sz w:val="24"/>
          <w:szCs w:val="24"/>
        </w:rPr>
      </w:pPr>
      <w:r>
        <w:rPr>
          <w:rFonts w:hint="eastAsia" w:asciiTheme="minorEastAsia" w:hAnsiTheme="minorEastAsia"/>
          <w:sz w:val="24"/>
          <w:szCs w:val="24"/>
        </w:rPr>
        <w:t>（4）科研活动情况（国内外学术会议、学术讲座、学术论文发表、获奖等）。</w:t>
      </w:r>
    </w:p>
    <w:p>
      <w:pPr>
        <w:spacing w:line="360" w:lineRule="auto"/>
        <w:ind w:firstLine="480" w:firstLineChars="200"/>
        <w:rPr>
          <w:rFonts w:asciiTheme="minorEastAsia" w:hAnsiTheme="minorEastAsia"/>
          <w:sz w:val="24"/>
          <w:szCs w:val="24"/>
        </w:rPr>
      </w:pPr>
      <w:r>
        <w:rPr>
          <w:rFonts w:hint="eastAsia" w:asciiTheme="minorEastAsia" w:hAnsiTheme="minorEastAsia"/>
          <w:sz w:val="24"/>
          <w:szCs w:val="24"/>
        </w:rPr>
        <w:t>学业进展计划及报告需经导师同意、学院审核通过后，方可按照个人培养计划继续推进学业。学业严重滞后于工作计划的，经导师提出，学位评定分委员会会审议，报学校根据有关规定处理。</w:t>
      </w:r>
    </w:p>
    <w:p>
      <w:pPr>
        <w:spacing w:line="360" w:lineRule="auto"/>
        <w:rPr>
          <w:rFonts w:asciiTheme="minorEastAsia" w:hAnsiTheme="minorEastAsia"/>
          <w:b/>
          <w:sz w:val="24"/>
          <w:szCs w:val="24"/>
        </w:rPr>
      </w:pPr>
      <w:r>
        <w:rPr>
          <w:rFonts w:hint="eastAsia" w:asciiTheme="minorEastAsia" w:hAnsiTheme="minorEastAsia"/>
          <w:b/>
          <w:sz w:val="24"/>
          <w:szCs w:val="24"/>
        </w:rPr>
        <w:t>（三</w:t>
      </w:r>
      <w:r>
        <w:rPr>
          <w:rFonts w:asciiTheme="minorEastAsia" w:hAnsiTheme="minorEastAsia"/>
          <w:b/>
          <w:sz w:val="24"/>
          <w:szCs w:val="24"/>
        </w:rPr>
        <w:t>）</w:t>
      </w:r>
      <w:r>
        <w:rPr>
          <w:rFonts w:hint="eastAsia" w:asciiTheme="minorEastAsia" w:hAnsiTheme="minorEastAsia"/>
          <w:b/>
          <w:sz w:val="24"/>
          <w:szCs w:val="24"/>
        </w:rPr>
        <w:t xml:space="preserve">学术交流活动 </w:t>
      </w:r>
    </w:p>
    <w:p>
      <w:pPr>
        <w:spacing w:line="360" w:lineRule="auto"/>
        <w:ind w:firstLine="480" w:firstLineChars="200"/>
        <w:rPr>
          <w:rFonts w:asciiTheme="minorEastAsia" w:hAnsiTheme="minorEastAsia"/>
          <w:sz w:val="24"/>
          <w:szCs w:val="24"/>
        </w:rPr>
      </w:pPr>
      <w:r>
        <w:rPr>
          <w:rFonts w:hint="eastAsia" w:asciiTheme="minorEastAsia" w:hAnsiTheme="minorEastAsia"/>
          <w:sz w:val="24"/>
          <w:szCs w:val="24"/>
        </w:rPr>
        <w:t xml:space="preserve">博士研究生须满足下列条件之一，方可视为完成“学术交流活动”要求。 </w:t>
      </w:r>
    </w:p>
    <w:p>
      <w:pPr>
        <w:spacing w:line="360" w:lineRule="auto"/>
        <w:ind w:firstLine="480" w:firstLineChars="200"/>
        <w:rPr>
          <w:rFonts w:asciiTheme="minorEastAsia" w:hAnsiTheme="minorEastAsia"/>
          <w:sz w:val="24"/>
          <w:szCs w:val="24"/>
        </w:rPr>
      </w:pPr>
      <w:r>
        <w:rPr>
          <w:rFonts w:hint="eastAsia" w:asciiTheme="minorEastAsia" w:hAnsiTheme="minorEastAsia"/>
          <w:sz w:val="24"/>
          <w:szCs w:val="24"/>
        </w:rPr>
        <w:t>（1）博士研究生须在入学后的第一学年内，参加学院组织或认可的各类学术讲座不少于8次，并就讲座内容形成不少于500字的学习心得，于学年结束前提交至学院教务秘书处。</w:t>
      </w:r>
    </w:p>
    <w:p>
      <w:pPr>
        <w:spacing w:line="360" w:lineRule="auto"/>
        <w:ind w:firstLine="480" w:firstLineChars="200"/>
      </w:pPr>
      <w:r>
        <w:rPr>
          <w:rFonts w:hint="eastAsia" w:asciiTheme="minorEastAsia" w:hAnsiTheme="minorEastAsia"/>
          <w:sz w:val="24"/>
          <w:szCs w:val="24"/>
        </w:rPr>
        <w:t>（2）根据学院要求及安排，担任学术讲座的主讲人一次。</w:t>
      </w:r>
    </w:p>
    <w:p>
      <w:pPr>
        <w:spacing w:line="360" w:lineRule="auto"/>
        <w:rPr>
          <w:rFonts w:asciiTheme="minorEastAsia" w:hAnsiTheme="minorEastAsia"/>
          <w:b/>
          <w:sz w:val="24"/>
          <w:szCs w:val="24"/>
        </w:rPr>
      </w:pPr>
      <w:r>
        <w:rPr>
          <w:rFonts w:hint="eastAsia" w:asciiTheme="minorEastAsia" w:hAnsiTheme="minorEastAsia"/>
          <w:b/>
          <w:sz w:val="24"/>
          <w:szCs w:val="24"/>
        </w:rPr>
        <w:t>第三条 学术创新性成果要求</w:t>
      </w:r>
    </w:p>
    <w:p>
      <w:pPr>
        <w:spacing w:line="360" w:lineRule="auto"/>
        <w:ind w:firstLine="480" w:firstLineChars="200"/>
        <w:rPr>
          <w:rFonts w:asciiTheme="minorEastAsia" w:hAnsiTheme="minorEastAsia"/>
          <w:sz w:val="24"/>
          <w:szCs w:val="24"/>
        </w:rPr>
      </w:pPr>
      <w:r>
        <w:rPr>
          <w:rFonts w:hint="eastAsia" w:asciiTheme="minorEastAsia" w:hAnsiTheme="minorEastAsia"/>
          <w:sz w:val="24"/>
          <w:szCs w:val="24"/>
        </w:rPr>
        <w:t>博士研究生学术创新性成果认定是博士研究生培养的必要环节，认定通过方可申请博士学位论文答辩。</w:t>
      </w:r>
    </w:p>
    <w:p>
      <w:pPr>
        <w:spacing w:line="360" w:lineRule="auto"/>
        <w:ind w:firstLine="480" w:firstLineChars="200"/>
        <w:rPr>
          <w:rFonts w:asciiTheme="minorEastAsia" w:hAnsiTheme="minorEastAsia"/>
          <w:sz w:val="24"/>
          <w:szCs w:val="24"/>
        </w:rPr>
      </w:pPr>
      <w:r>
        <w:rPr>
          <w:rFonts w:hint="eastAsia" w:asciiTheme="minorEastAsia" w:hAnsiTheme="minorEastAsia"/>
          <w:sz w:val="24"/>
          <w:szCs w:val="24"/>
        </w:rPr>
        <w:t>1.</w:t>
      </w:r>
      <w:r>
        <w:rPr>
          <w:rFonts w:asciiTheme="minorEastAsia" w:hAnsiTheme="minorEastAsia"/>
          <w:sz w:val="24"/>
          <w:szCs w:val="24"/>
        </w:rPr>
        <w:t xml:space="preserve"> </w:t>
      </w:r>
      <w:r>
        <w:rPr>
          <w:rFonts w:hint="eastAsia" w:asciiTheme="minorEastAsia" w:hAnsiTheme="minorEastAsia"/>
          <w:sz w:val="24"/>
          <w:szCs w:val="24"/>
        </w:rPr>
        <w:t>学术创新性成果须在攻读博士学位期间取得，在所申请博士学位的学科研究领域之内且与学位论文相关。成果的第一完成单位须为上海财经大学或上海财经大学信息管理与工程学院，且学位申请人为成果的第一作者（第一申请人）或有明确标注的通讯作者。</w:t>
      </w:r>
    </w:p>
    <w:p>
      <w:pPr>
        <w:spacing w:line="360" w:lineRule="auto"/>
        <w:ind w:firstLine="480" w:firstLineChars="200"/>
        <w:rPr>
          <w:rFonts w:asciiTheme="minorEastAsia" w:hAnsiTheme="minorEastAsia"/>
          <w:sz w:val="24"/>
          <w:szCs w:val="24"/>
        </w:rPr>
      </w:pPr>
      <w:r>
        <w:rPr>
          <w:rFonts w:hint="eastAsia" w:asciiTheme="minorEastAsia" w:hAnsiTheme="minorEastAsia"/>
          <w:sz w:val="24"/>
          <w:szCs w:val="24"/>
        </w:rPr>
        <w:t>2.</w:t>
      </w:r>
      <w:r>
        <w:rPr>
          <w:rFonts w:asciiTheme="minorEastAsia" w:hAnsiTheme="minorEastAsia"/>
          <w:sz w:val="24"/>
          <w:szCs w:val="24"/>
        </w:rPr>
        <w:t xml:space="preserve"> </w:t>
      </w:r>
      <w:r>
        <w:rPr>
          <w:rFonts w:hint="eastAsia" w:asciiTheme="minorEastAsia" w:hAnsiTheme="minorEastAsia"/>
          <w:sz w:val="24"/>
          <w:szCs w:val="24"/>
        </w:rPr>
        <w:t>管理科学与工程一级学科博士学位申请人须满足下列条件之一视为达到学位申请的学术创新性成果要求：</w:t>
      </w:r>
    </w:p>
    <w:p>
      <w:pPr>
        <w:spacing w:line="360" w:lineRule="auto"/>
        <w:ind w:firstLine="480" w:firstLineChars="200"/>
        <w:rPr>
          <w:rFonts w:asciiTheme="minorEastAsia" w:hAnsiTheme="minorEastAsia"/>
          <w:sz w:val="24"/>
          <w:szCs w:val="24"/>
        </w:rPr>
      </w:pPr>
      <w:r>
        <w:rPr>
          <w:rFonts w:hint="eastAsia" w:asciiTheme="minorEastAsia" w:hAnsiTheme="minorEastAsia"/>
          <w:sz w:val="24"/>
          <w:szCs w:val="24"/>
        </w:rPr>
        <w:t>（1）发表学校规定的</w:t>
      </w:r>
      <w:r>
        <w:rPr>
          <w:rFonts w:asciiTheme="minorEastAsia" w:hAnsiTheme="minorEastAsia"/>
          <w:sz w:val="24"/>
          <w:szCs w:val="24"/>
        </w:rPr>
        <w:t>A</w:t>
      </w:r>
      <w:r>
        <w:rPr>
          <w:rFonts w:hint="eastAsia" w:asciiTheme="minorEastAsia" w:hAnsiTheme="minorEastAsia"/>
          <w:sz w:val="24"/>
          <w:szCs w:val="24"/>
        </w:rPr>
        <w:t>级学术论文1篇；</w:t>
      </w:r>
    </w:p>
    <w:p>
      <w:pPr>
        <w:spacing w:line="360" w:lineRule="auto"/>
        <w:ind w:firstLine="480" w:firstLineChars="200"/>
        <w:rPr>
          <w:rFonts w:asciiTheme="minorEastAsia" w:hAnsiTheme="minorEastAsia"/>
          <w:sz w:val="24"/>
          <w:szCs w:val="24"/>
        </w:rPr>
      </w:pPr>
      <w:r>
        <w:rPr>
          <w:rFonts w:hint="eastAsia" w:asciiTheme="minorEastAsia" w:hAnsiTheme="minorEastAsia"/>
          <w:sz w:val="24"/>
          <w:szCs w:val="24"/>
        </w:rPr>
        <w:t>（</w:t>
      </w:r>
      <w:r>
        <w:rPr>
          <w:rFonts w:asciiTheme="minorEastAsia" w:hAnsiTheme="minorEastAsia"/>
          <w:sz w:val="24"/>
          <w:szCs w:val="24"/>
        </w:rPr>
        <w:t>2</w:t>
      </w:r>
      <w:r>
        <w:rPr>
          <w:rFonts w:hint="eastAsia" w:asciiTheme="minorEastAsia" w:hAnsiTheme="minorEastAsia"/>
          <w:sz w:val="24"/>
          <w:szCs w:val="24"/>
        </w:rPr>
        <w:t>）发表学校规定的B级学术论文或取得学校科研处认定的B级职务发明类成果1篇（项），及发表学校规定的C级学术论文或取得学校科研处认定的C级职务发明类成果1篇（项）；且上述成果中至少有一篇学术论文；</w:t>
      </w:r>
    </w:p>
    <w:p>
      <w:pPr>
        <w:spacing w:line="360" w:lineRule="auto"/>
        <w:ind w:firstLine="480" w:firstLineChars="200"/>
        <w:rPr>
          <w:rFonts w:asciiTheme="minorEastAsia" w:hAnsiTheme="minorEastAsia"/>
          <w:sz w:val="24"/>
          <w:szCs w:val="24"/>
        </w:rPr>
      </w:pPr>
      <w:r>
        <w:rPr>
          <w:rFonts w:hint="eastAsia" w:asciiTheme="minorEastAsia" w:hAnsiTheme="minorEastAsia"/>
          <w:sz w:val="24"/>
          <w:szCs w:val="24"/>
        </w:rPr>
        <w:t>（</w:t>
      </w:r>
      <w:r>
        <w:rPr>
          <w:rFonts w:asciiTheme="minorEastAsia" w:hAnsiTheme="minorEastAsia"/>
          <w:sz w:val="24"/>
          <w:szCs w:val="24"/>
        </w:rPr>
        <w:t>3</w:t>
      </w:r>
      <w:r>
        <w:rPr>
          <w:rFonts w:hint="eastAsia" w:asciiTheme="minorEastAsia" w:hAnsiTheme="minorEastAsia"/>
          <w:sz w:val="24"/>
          <w:szCs w:val="24"/>
        </w:rPr>
        <w:t>）在学校自定国际期刊分类目录内（含学校自定计算机科学与技术/软件工程学科的国际会议目录）Second Tier及以上发表、或已经获得接受发表函、或进入双向匿名评审并获得正面评价论文1篇；</w:t>
      </w:r>
    </w:p>
    <w:p>
      <w:pPr>
        <w:spacing w:line="360" w:lineRule="auto"/>
        <w:ind w:firstLine="480" w:firstLineChars="200"/>
        <w:rPr>
          <w:rFonts w:asciiTheme="minorEastAsia" w:hAnsiTheme="minorEastAsia"/>
          <w:sz w:val="24"/>
          <w:szCs w:val="24"/>
        </w:rPr>
      </w:pPr>
      <w:r>
        <w:rPr>
          <w:rFonts w:hint="eastAsia" w:asciiTheme="minorEastAsia" w:hAnsiTheme="minorEastAsia"/>
          <w:sz w:val="24"/>
          <w:szCs w:val="24"/>
        </w:rPr>
        <w:t>（</w:t>
      </w:r>
      <w:r>
        <w:rPr>
          <w:rFonts w:asciiTheme="minorEastAsia" w:hAnsiTheme="minorEastAsia"/>
          <w:sz w:val="24"/>
          <w:szCs w:val="24"/>
        </w:rPr>
        <w:t>4</w:t>
      </w:r>
      <w:r>
        <w:rPr>
          <w:rFonts w:hint="eastAsia" w:asciiTheme="minorEastAsia" w:hAnsiTheme="minorEastAsia"/>
          <w:sz w:val="24"/>
          <w:szCs w:val="24"/>
        </w:rPr>
        <w:t>）科研代表作外审认定通过。</w:t>
      </w:r>
    </w:p>
    <w:p>
      <w:pPr>
        <w:spacing w:line="360" w:lineRule="auto"/>
        <w:ind w:firstLine="480" w:firstLineChars="200"/>
        <w:rPr>
          <w:rFonts w:asciiTheme="minorEastAsia" w:hAnsiTheme="minorEastAsia"/>
          <w:sz w:val="24"/>
          <w:szCs w:val="24"/>
        </w:rPr>
      </w:pPr>
      <w:r>
        <w:rPr>
          <w:rFonts w:hint="eastAsia" w:asciiTheme="minorEastAsia" w:hAnsiTheme="minorEastAsia"/>
          <w:sz w:val="24"/>
          <w:szCs w:val="24"/>
        </w:rPr>
        <w:t xml:space="preserve">3. “第一作者”的界定 </w:t>
      </w:r>
    </w:p>
    <w:p>
      <w:pPr>
        <w:spacing w:line="360" w:lineRule="auto"/>
        <w:ind w:firstLine="480" w:firstLineChars="200"/>
        <w:rPr>
          <w:rFonts w:asciiTheme="minorEastAsia" w:hAnsiTheme="minorEastAsia"/>
          <w:sz w:val="24"/>
          <w:szCs w:val="24"/>
        </w:rPr>
      </w:pPr>
      <w:r>
        <w:rPr>
          <w:rFonts w:hint="eastAsia" w:asciiTheme="minorEastAsia" w:hAnsiTheme="minorEastAsia"/>
          <w:sz w:val="24"/>
          <w:szCs w:val="24"/>
        </w:rPr>
        <w:t>（1）申请人作为独立作者；</w:t>
      </w:r>
    </w:p>
    <w:p>
      <w:pPr>
        <w:spacing w:line="360" w:lineRule="auto"/>
        <w:ind w:firstLine="480" w:firstLineChars="200"/>
        <w:rPr>
          <w:rFonts w:asciiTheme="minorEastAsia" w:hAnsiTheme="minorEastAsia"/>
          <w:sz w:val="24"/>
          <w:szCs w:val="24"/>
        </w:rPr>
      </w:pPr>
      <w:r>
        <w:rPr>
          <w:rFonts w:hint="eastAsia" w:asciiTheme="minorEastAsia" w:hAnsiTheme="minorEastAsia"/>
          <w:sz w:val="24"/>
          <w:szCs w:val="24"/>
        </w:rPr>
        <w:t>（2）合作发表论文的第一作者；</w:t>
      </w:r>
    </w:p>
    <w:p>
      <w:pPr>
        <w:spacing w:line="360" w:lineRule="auto"/>
        <w:ind w:firstLine="480" w:firstLineChars="200"/>
        <w:rPr>
          <w:rFonts w:asciiTheme="minorEastAsia" w:hAnsiTheme="minorEastAsia"/>
          <w:sz w:val="24"/>
          <w:szCs w:val="24"/>
        </w:rPr>
      </w:pPr>
      <w:r>
        <w:rPr>
          <w:rFonts w:hint="eastAsia" w:asciiTheme="minorEastAsia" w:hAnsiTheme="minorEastAsia"/>
          <w:sz w:val="24"/>
          <w:szCs w:val="24"/>
        </w:rPr>
        <w:t>（3）与导师合作发表论文，导师为第一作者且申请人为第二作者；</w:t>
      </w:r>
    </w:p>
    <w:p>
      <w:pPr>
        <w:spacing w:line="360" w:lineRule="auto"/>
        <w:ind w:firstLine="480" w:firstLineChars="200"/>
        <w:rPr>
          <w:rFonts w:asciiTheme="minorEastAsia" w:hAnsiTheme="minorEastAsia"/>
          <w:sz w:val="24"/>
          <w:szCs w:val="24"/>
        </w:rPr>
      </w:pPr>
      <w:r>
        <w:rPr>
          <w:rFonts w:hint="eastAsia" w:asciiTheme="minorEastAsia" w:hAnsiTheme="minorEastAsia"/>
          <w:sz w:val="24"/>
          <w:szCs w:val="24"/>
        </w:rPr>
        <w:t>（4）国际期刊（含学校自定计算机科学与技术/软件工程学科会议目录中的会议）共同第一作者或作者按音序排列。</w:t>
      </w:r>
      <w:r>
        <w:rPr>
          <w:rFonts w:asciiTheme="minorEastAsia" w:hAnsiTheme="minorEastAsia"/>
          <w:sz w:val="24"/>
          <w:szCs w:val="24"/>
        </w:rPr>
        <w:t xml:space="preserve"> </w:t>
      </w:r>
    </w:p>
    <w:p>
      <w:pPr>
        <w:spacing w:line="360" w:lineRule="auto"/>
        <w:ind w:firstLine="480" w:firstLineChars="200"/>
        <w:rPr>
          <w:rFonts w:asciiTheme="minorEastAsia" w:hAnsiTheme="minorEastAsia"/>
          <w:sz w:val="24"/>
          <w:szCs w:val="24"/>
        </w:rPr>
      </w:pPr>
      <w:r>
        <w:rPr>
          <w:rFonts w:hint="eastAsia" w:asciiTheme="minorEastAsia" w:hAnsiTheme="minorEastAsia"/>
          <w:sz w:val="24"/>
          <w:szCs w:val="24"/>
        </w:rPr>
        <w:t>4</w:t>
      </w:r>
      <w:r>
        <w:rPr>
          <w:rFonts w:asciiTheme="minorEastAsia" w:hAnsiTheme="minorEastAsia"/>
          <w:sz w:val="24"/>
          <w:szCs w:val="24"/>
        </w:rPr>
        <w:t>.</w:t>
      </w:r>
      <w:r>
        <w:rPr>
          <w:rFonts w:asciiTheme="minorEastAsia" w:hAnsiTheme="minorEastAsia"/>
          <w:color w:val="FF0000"/>
          <w:sz w:val="24"/>
          <w:szCs w:val="24"/>
        </w:rPr>
        <w:t xml:space="preserve"> </w:t>
      </w:r>
      <w:r>
        <w:rPr>
          <w:rFonts w:asciiTheme="minorEastAsia" w:hAnsiTheme="minorEastAsia"/>
          <w:sz w:val="24"/>
          <w:szCs w:val="24"/>
        </w:rPr>
        <w:t>“发表”的界定</w:t>
      </w:r>
    </w:p>
    <w:p>
      <w:pPr>
        <w:spacing w:line="360" w:lineRule="auto"/>
        <w:ind w:firstLine="480" w:firstLineChars="200"/>
        <w:rPr>
          <w:rFonts w:asciiTheme="minorEastAsia" w:hAnsiTheme="minorEastAsia"/>
          <w:sz w:val="24"/>
          <w:szCs w:val="24"/>
        </w:rPr>
      </w:pPr>
      <w:r>
        <w:rPr>
          <w:rFonts w:asciiTheme="minorEastAsia" w:hAnsiTheme="minorEastAsia"/>
          <w:sz w:val="24"/>
          <w:szCs w:val="24"/>
        </w:rPr>
        <w:t>（</w:t>
      </w:r>
      <w:r>
        <w:rPr>
          <w:rFonts w:hint="eastAsia" w:asciiTheme="minorEastAsia" w:hAnsiTheme="minorEastAsia"/>
          <w:sz w:val="24"/>
          <w:szCs w:val="24"/>
        </w:rPr>
        <w:t>1）学校科研处认定的正式发表；</w:t>
      </w:r>
    </w:p>
    <w:p>
      <w:pPr>
        <w:spacing w:line="360" w:lineRule="auto"/>
        <w:ind w:firstLine="480" w:firstLineChars="200"/>
        <w:rPr>
          <w:rFonts w:asciiTheme="minorEastAsia" w:hAnsiTheme="minorEastAsia"/>
          <w:sz w:val="24"/>
          <w:szCs w:val="24"/>
        </w:rPr>
      </w:pPr>
      <w:r>
        <w:rPr>
          <w:rFonts w:asciiTheme="minorEastAsia" w:hAnsiTheme="minorEastAsia"/>
          <w:sz w:val="24"/>
          <w:szCs w:val="24"/>
        </w:rPr>
        <w:t>（</w:t>
      </w:r>
      <w:r>
        <w:rPr>
          <w:rFonts w:hint="eastAsia" w:asciiTheme="minorEastAsia" w:hAnsiTheme="minorEastAsia"/>
          <w:sz w:val="24"/>
          <w:szCs w:val="24"/>
        </w:rPr>
        <w:t>2）在线发表（须取得D</w:t>
      </w:r>
      <w:r>
        <w:rPr>
          <w:rFonts w:asciiTheme="minorEastAsia" w:hAnsiTheme="minorEastAsia"/>
          <w:sz w:val="24"/>
          <w:szCs w:val="24"/>
        </w:rPr>
        <w:t>OI号，且可根据</w:t>
      </w:r>
      <w:r>
        <w:rPr>
          <w:rFonts w:hint="eastAsia" w:asciiTheme="minorEastAsia" w:hAnsiTheme="minorEastAsia"/>
          <w:sz w:val="24"/>
          <w:szCs w:val="24"/>
        </w:rPr>
        <w:t>D</w:t>
      </w:r>
      <w:r>
        <w:rPr>
          <w:rFonts w:asciiTheme="minorEastAsia" w:hAnsiTheme="minorEastAsia"/>
          <w:sz w:val="24"/>
          <w:szCs w:val="24"/>
        </w:rPr>
        <w:t>OI号检索到论文全文）</w:t>
      </w:r>
      <w:r>
        <w:rPr>
          <w:rFonts w:hint="eastAsia" w:asciiTheme="minorEastAsia" w:hAnsiTheme="minorEastAsia"/>
          <w:sz w:val="24"/>
          <w:szCs w:val="24"/>
        </w:rPr>
        <w:t>；</w:t>
      </w:r>
    </w:p>
    <w:p>
      <w:pPr>
        <w:spacing w:line="360" w:lineRule="auto"/>
        <w:ind w:firstLine="480" w:firstLineChars="200"/>
        <w:rPr>
          <w:rFonts w:asciiTheme="minorEastAsia" w:hAnsiTheme="minorEastAsia"/>
          <w:sz w:val="24"/>
          <w:szCs w:val="24"/>
        </w:rPr>
      </w:pPr>
      <w:r>
        <w:rPr>
          <w:rFonts w:hint="eastAsia" w:asciiTheme="minorEastAsia" w:hAnsiTheme="minorEastAsia"/>
          <w:sz w:val="24"/>
          <w:szCs w:val="24"/>
        </w:rPr>
        <w:t>（3）权威期刊A或权威期刊B获得接受发表函，且经学位评定分委员认定。</w:t>
      </w:r>
    </w:p>
    <w:p>
      <w:pPr>
        <w:spacing w:line="360" w:lineRule="auto"/>
        <w:ind w:firstLine="480" w:firstLineChars="200"/>
        <w:rPr>
          <w:rFonts w:asciiTheme="minorEastAsia" w:hAnsiTheme="minorEastAsia"/>
          <w:sz w:val="24"/>
          <w:szCs w:val="24"/>
        </w:rPr>
      </w:pPr>
      <w:r>
        <w:rPr>
          <w:rFonts w:asciiTheme="minorEastAsia" w:hAnsiTheme="minorEastAsia"/>
          <w:sz w:val="24"/>
          <w:szCs w:val="24"/>
        </w:rPr>
        <w:t>5</w:t>
      </w:r>
      <w:r>
        <w:rPr>
          <w:rFonts w:hint="eastAsia" w:asciiTheme="minorEastAsia" w:hAnsiTheme="minorEastAsia"/>
          <w:sz w:val="24"/>
          <w:szCs w:val="24"/>
        </w:rPr>
        <w:t xml:space="preserve">. 学术创新性成果等级认定及篇数折算方法 </w:t>
      </w:r>
    </w:p>
    <w:p>
      <w:pPr>
        <w:spacing w:line="360" w:lineRule="auto"/>
        <w:ind w:firstLine="480" w:firstLineChars="200"/>
        <w:rPr>
          <w:rFonts w:asciiTheme="minorEastAsia" w:hAnsiTheme="minorEastAsia"/>
          <w:sz w:val="24"/>
          <w:szCs w:val="24"/>
        </w:rPr>
      </w:pPr>
      <w:r>
        <w:rPr>
          <w:rFonts w:hint="eastAsia" w:asciiTheme="minorEastAsia" w:hAnsiTheme="minorEastAsia"/>
          <w:sz w:val="24"/>
          <w:szCs w:val="24"/>
        </w:rPr>
        <w:t>学术创新性成果等级的认定以《上海财经大学学术成果认定办法》及学校相关文件规定为准。</w:t>
      </w:r>
    </w:p>
    <w:p>
      <w:pPr>
        <w:spacing w:line="360" w:lineRule="auto"/>
        <w:ind w:firstLine="480" w:firstLineChars="200"/>
        <w:rPr>
          <w:rFonts w:asciiTheme="minorEastAsia" w:hAnsiTheme="minorEastAsia"/>
          <w:sz w:val="24"/>
          <w:szCs w:val="24"/>
        </w:rPr>
      </w:pPr>
      <w:r>
        <w:rPr>
          <w:rFonts w:asciiTheme="minorEastAsia" w:hAnsiTheme="minorEastAsia"/>
          <w:sz w:val="24"/>
          <w:szCs w:val="24"/>
        </w:rPr>
        <w:t>6</w:t>
      </w:r>
      <w:r>
        <w:rPr>
          <w:rFonts w:hint="eastAsia" w:asciiTheme="minorEastAsia" w:hAnsiTheme="minorEastAsia"/>
          <w:sz w:val="24"/>
          <w:szCs w:val="24"/>
        </w:rPr>
        <w:t>. 科研代表作外审</w:t>
      </w:r>
    </w:p>
    <w:p>
      <w:pPr>
        <w:spacing w:line="360" w:lineRule="auto"/>
        <w:ind w:firstLine="480" w:firstLineChars="200"/>
        <w:rPr>
          <w:rFonts w:asciiTheme="minorEastAsia" w:hAnsiTheme="minorEastAsia"/>
          <w:sz w:val="24"/>
          <w:szCs w:val="24"/>
        </w:rPr>
      </w:pPr>
      <w:r>
        <w:rPr>
          <w:rFonts w:hint="eastAsia" w:asciiTheme="minorEastAsia" w:hAnsiTheme="minorEastAsia"/>
          <w:sz w:val="24"/>
          <w:szCs w:val="24"/>
        </w:rPr>
        <w:t>（1）代表作数量：</w:t>
      </w:r>
    </w:p>
    <w:p>
      <w:pPr>
        <w:spacing w:line="360" w:lineRule="auto"/>
        <w:ind w:firstLine="480" w:firstLineChars="200"/>
        <w:rPr>
          <w:rFonts w:asciiTheme="minorEastAsia" w:hAnsiTheme="minorEastAsia"/>
          <w:sz w:val="24"/>
          <w:szCs w:val="24"/>
        </w:rPr>
      </w:pPr>
      <w:r>
        <w:rPr>
          <w:rFonts w:hint="eastAsia" w:asciiTheme="minorEastAsia" w:hAnsiTheme="minorEastAsia"/>
          <w:sz w:val="24"/>
          <w:szCs w:val="24"/>
        </w:rPr>
        <w:t>仅限一项，且须经学位评定分委员会初审通过。</w:t>
      </w:r>
    </w:p>
    <w:p>
      <w:pPr>
        <w:spacing w:line="360" w:lineRule="auto"/>
        <w:ind w:firstLine="480" w:firstLineChars="200"/>
        <w:rPr>
          <w:rFonts w:asciiTheme="minorEastAsia" w:hAnsiTheme="minorEastAsia"/>
          <w:sz w:val="24"/>
          <w:szCs w:val="24"/>
        </w:rPr>
      </w:pPr>
      <w:r>
        <w:rPr>
          <w:rFonts w:hint="eastAsia" w:asciiTheme="minorEastAsia" w:hAnsiTheme="minorEastAsia"/>
          <w:sz w:val="24"/>
          <w:szCs w:val="24"/>
        </w:rPr>
        <w:t>（2）代表作类型：</w:t>
      </w:r>
    </w:p>
    <w:p>
      <w:pPr>
        <w:spacing w:line="360" w:lineRule="auto"/>
        <w:ind w:firstLine="480" w:firstLineChars="200"/>
        <w:rPr>
          <w:rFonts w:asciiTheme="minorEastAsia" w:hAnsiTheme="minorEastAsia"/>
          <w:sz w:val="24"/>
          <w:szCs w:val="24"/>
        </w:rPr>
      </w:pPr>
      <w:r>
        <w:rPr>
          <w:rFonts w:hint="eastAsia" w:asciiTheme="minorEastAsia" w:hAnsiTheme="minorEastAsia"/>
          <w:sz w:val="24"/>
          <w:szCs w:val="24"/>
        </w:rPr>
        <w:t>已完成还未发表的学术论文。</w:t>
      </w:r>
    </w:p>
    <w:p>
      <w:pPr>
        <w:spacing w:line="360" w:lineRule="auto"/>
        <w:ind w:firstLine="480" w:firstLineChars="200"/>
        <w:rPr>
          <w:rFonts w:asciiTheme="minorEastAsia" w:hAnsiTheme="minorEastAsia"/>
          <w:sz w:val="24"/>
          <w:szCs w:val="24"/>
        </w:rPr>
      </w:pPr>
      <w:r>
        <w:rPr>
          <w:rFonts w:hint="eastAsia" w:asciiTheme="minorEastAsia" w:hAnsiTheme="minorEastAsia"/>
          <w:sz w:val="24"/>
          <w:szCs w:val="24"/>
        </w:rPr>
        <w:t>（3）代表作评审程序</w:t>
      </w:r>
    </w:p>
    <w:p>
      <w:pPr>
        <w:spacing w:line="360" w:lineRule="auto"/>
        <w:ind w:firstLine="480" w:firstLineChars="200"/>
        <w:rPr>
          <w:rFonts w:asciiTheme="minorEastAsia" w:hAnsiTheme="minorEastAsia"/>
          <w:sz w:val="24"/>
          <w:szCs w:val="24"/>
        </w:rPr>
      </w:pPr>
      <w:r>
        <w:rPr>
          <w:rFonts w:hint="eastAsia" w:asciiTheme="minorEastAsia" w:hAnsiTheme="minorEastAsia"/>
          <w:sz w:val="24"/>
          <w:szCs w:val="24"/>
        </w:rPr>
        <w:t>学位申请人本人提出申请，提供拟投稿的论文及目标期刊。目标期刊须为学校自定国际期刊分类目录内（含学校自定计算机科学与技术/软件工程学科的国际会议目录）Second Tier及以上；</w:t>
      </w:r>
    </w:p>
    <w:p>
      <w:pPr>
        <w:spacing w:line="360" w:lineRule="auto"/>
        <w:ind w:firstLine="480" w:firstLineChars="200"/>
        <w:rPr>
          <w:rFonts w:asciiTheme="minorEastAsia" w:hAnsiTheme="minorEastAsia"/>
          <w:sz w:val="24"/>
          <w:szCs w:val="24"/>
        </w:rPr>
      </w:pPr>
      <w:r>
        <w:rPr>
          <w:rFonts w:hint="eastAsia" w:asciiTheme="minorEastAsia" w:hAnsiTheme="minorEastAsia"/>
          <w:sz w:val="24"/>
          <w:szCs w:val="24"/>
        </w:rPr>
        <w:t>学位评定分委员会将申请人提交的代表作送3位校外同行专家评议，须获得3位同行专家一致同意达到相应期刊水准，方可认定为学术创新性成果。</w:t>
      </w:r>
    </w:p>
    <w:p>
      <w:pPr>
        <w:spacing w:line="360" w:lineRule="auto"/>
        <w:ind w:firstLine="480" w:firstLineChars="200"/>
        <w:rPr>
          <w:rFonts w:asciiTheme="minorEastAsia" w:hAnsiTheme="minorEastAsia"/>
          <w:sz w:val="24"/>
          <w:szCs w:val="24"/>
        </w:rPr>
      </w:pPr>
      <w:r>
        <w:rPr>
          <w:rFonts w:hint="eastAsia" w:asciiTheme="minorEastAsia" w:hAnsiTheme="minorEastAsia"/>
          <w:sz w:val="24"/>
          <w:szCs w:val="24"/>
        </w:rPr>
        <w:t>7</w:t>
      </w:r>
      <w:r>
        <w:rPr>
          <w:rFonts w:asciiTheme="minorEastAsia" w:hAnsiTheme="minorEastAsia"/>
          <w:sz w:val="24"/>
          <w:szCs w:val="24"/>
        </w:rPr>
        <w:t xml:space="preserve">. </w:t>
      </w:r>
      <w:r>
        <w:rPr>
          <w:rFonts w:hint="eastAsia" w:asciiTheme="minorEastAsia" w:hAnsiTheme="minorEastAsia"/>
          <w:sz w:val="24"/>
          <w:szCs w:val="24"/>
        </w:rPr>
        <w:t>同一份学术创新性成果仅能用于一位博士研究生的学位申请。共同一作或按音序排列的博士生申请学位时须出具其他所有合作者签字的声明及承诺书，证明该生做出了主要贡献且允许核心内容呈现于该生学位论文中，并承诺仅由其中1位作者申请博士学位。</w:t>
      </w:r>
    </w:p>
    <w:p>
      <w:pPr>
        <w:spacing w:line="360" w:lineRule="auto"/>
        <w:ind w:firstLine="480" w:firstLineChars="200"/>
        <w:rPr>
          <w:rFonts w:asciiTheme="minorEastAsia" w:hAnsiTheme="minorEastAsia"/>
          <w:color w:val="00B0F0"/>
          <w:sz w:val="24"/>
          <w:szCs w:val="24"/>
        </w:rPr>
      </w:pPr>
      <w:r>
        <w:rPr>
          <w:rFonts w:hint="eastAsia" w:asciiTheme="minorEastAsia" w:hAnsiTheme="minorEastAsia"/>
          <w:sz w:val="24"/>
          <w:szCs w:val="24"/>
        </w:rPr>
        <w:t>8</w:t>
      </w:r>
      <w:r>
        <w:rPr>
          <w:rFonts w:asciiTheme="minorEastAsia" w:hAnsiTheme="minorEastAsia"/>
          <w:sz w:val="24"/>
          <w:szCs w:val="24"/>
        </w:rPr>
        <w:t xml:space="preserve">. </w:t>
      </w:r>
      <w:r>
        <w:rPr>
          <w:rFonts w:hint="eastAsia" w:asciiTheme="minorEastAsia" w:hAnsiTheme="minorEastAsia"/>
          <w:sz w:val="24"/>
          <w:szCs w:val="24"/>
        </w:rPr>
        <w:t>当申请人以未正式发表的学术成果申请学位时，需签署“以未正式发表科研成果申请学位申请人的知情承诺书”。学科将对未正式发表的科研成果是否正式发表进行追踪，并公开披露。如发现科研成果正式发表时对署名作者和署名单位进行重大修改等与学位申请时不相一致或不符合学位授予标准情形的，可启动核查程序。经核查，如发现有舞弊等严重违反国家学位条例规定时，按照规定程序，未授予学位的可取消学位申请资格，已授予学位的可撤销学位。</w:t>
      </w:r>
    </w:p>
    <w:p>
      <w:pPr>
        <w:spacing w:line="360" w:lineRule="auto"/>
        <w:ind w:firstLine="480" w:firstLineChars="200"/>
        <w:rPr>
          <w:rFonts w:asciiTheme="minorEastAsia" w:hAnsiTheme="minorEastAsia"/>
          <w:sz w:val="24"/>
          <w:szCs w:val="24"/>
        </w:rPr>
      </w:pPr>
      <w:r>
        <w:rPr>
          <w:rFonts w:asciiTheme="minorEastAsia" w:hAnsiTheme="minorEastAsia"/>
          <w:sz w:val="24"/>
          <w:szCs w:val="24"/>
        </w:rPr>
        <w:t xml:space="preserve">9. </w:t>
      </w:r>
      <w:r>
        <w:rPr>
          <w:rFonts w:hint="eastAsia" w:asciiTheme="minorEastAsia" w:hAnsiTheme="minorEastAsia"/>
          <w:sz w:val="24"/>
          <w:szCs w:val="24"/>
        </w:rPr>
        <w:t>博士研究生提出学位论文答辩申请后，学位评定分委员会对其培养计划完成情况、科研工作计划实施情况、学科综合考试和中期测评情况、预答辩情况、创新性成果完成情况等进行审核。审核通过的所有申请博士学位论文答辩人员的学术创新性成果及审核情况将在院内公示，公示完成后，方能进入博士学位论文答辩阶段。</w:t>
      </w:r>
    </w:p>
    <w:p>
      <w:pPr>
        <w:spacing w:line="360" w:lineRule="auto"/>
        <w:ind w:firstLine="480" w:firstLineChars="200"/>
        <w:rPr>
          <w:rFonts w:asciiTheme="minorEastAsia" w:hAnsiTheme="minorEastAsia"/>
          <w:sz w:val="24"/>
          <w:szCs w:val="24"/>
        </w:rPr>
      </w:pPr>
      <w:r>
        <w:rPr>
          <w:rFonts w:hint="eastAsia" w:asciiTheme="minorEastAsia" w:hAnsiTheme="minorEastAsia"/>
          <w:sz w:val="24"/>
          <w:szCs w:val="24"/>
        </w:rPr>
        <w:t>博士研究生应当如实提交申请答辩所需的材料，并对材料实质内容的真实性负责。如发现弄虚作假的，取消当学期答辩资格，并在院内通报批评；如发现时已审核通过的，后续答辩和学位审核结果作废，如需撤销学位根据教育部和学校有关规定处理。</w:t>
      </w:r>
    </w:p>
    <w:p>
      <w:pPr>
        <w:spacing w:line="360" w:lineRule="auto"/>
        <w:ind w:firstLine="480" w:firstLineChars="200"/>
        <w:rPr>
          <w:rFonts w:asciiTheme="minorEastAsia" w:hAnsiTheme="minorEastAsia"/>
          <w:sz w:val="24"/>
          <w:szCs w:val="24"/>
        </w:rPr>
      </w:pPr>
      <w:r>
        <w:rPr>
          <w:rFonts w:asciiTheme="minorEastAsia" w:hAnsiTheme="minorEastAsia"/>
          <w:sz w:val="24"/>
          <w:szCs w:val="24"/>
        </w:rPr>
        <w:t xml:space="preserve">10. </w:t>
      </w:r>
      <w:r>
        <w:rPr>
          <w:rFonts w:hint="eastAsia" w:asciiTheme="minorEastAsia" w:hAnsiTheme="minorEastAsia"/>
          <w:sz w:val="24"/>
          <w:szCs w:val="24"/>
        </w:rPr>
        <w:t>管理科学与工程一级学科博士学位申请人适用本细则申请博士学位时，学术创新性成果中须剔除《信息管理与工程学院预警期刊列表》中的期刊论文，该列表每年更新一次，以投稿时该期刊是否属于预警期刊为准。</w:t>
      </w:r>
    </w:p>
    <w:p>
      <w:pPr>
        <w:spacing w:line="360" w:lineRule="auto"/>
        <w:ind w:firstLine="482" w:firstLineChars="200"/>
        <w:rPr>
          <w:rFonts w:asciiTheme="minorEastAsia" w:hAnsiTheme="minorEastAsia"/>
          <w:b/>
          <w:sz w:val="24"/>
          <w:szCs w:val="24"/>
        </w:rPr>
      </w:pPr>
      <w:r>
        <w:rPr>
          <w:rFonts w:hint="eastAsia" w:asciiTheme="minorEastAsia" w:hAnsiTheme="minorEastAsia"/>
          <w:b/>
          <w:sz w:val="24"/>
          <w:szCs w:val="24"/>
        </w:rPr>
        <w:t>第四条 学位授予质量保障</w:t>
      </w:r>
    </w:p>
    <w:p>
      <w:pPr>
        <w:spacing w:line="360" w:lineRule="auto"/>
        <w:ind w:firstLine="482" w:firstLineChars="200"/>
        <w:rPr>
          <w:rFonts w:asciiTheme="minorEastAsia" w:hAnsiTheme="minorEastAsia"/>
          <w:b/>
          <w:sz w:val="24"/>
          <w:szCs w:val="24"/>
        </w:rPr>
      </w:pPr>
      <w:r>
        <w:rPr>
          <w:rFonts w:hint="eastAsia" w:asciiTheme="minorEastAsia" w:hAnsiTheme="minorEastAsia"/>
          <w:b/>
          <w:sz w:val="24"/>
          <w:szCs w:val="24"/>
        </w:rPr>
        <w:t>1</w:t>
      </w:r>
      <w:r>
        <w:rPr>
          <w:rFonts w:asciiTheme="minorEastAsia" w:hAnsiTheme="minorEastAsia"/>
          <w:b/>
          <w:sz w:val="24"/>
          <w:szCs w:val="24"/>
        </w:rPr>
        <w:t xml:space="preserve">. </w:t>
      </w:r>
      <w:r>
        <w:rPr>
          <w:rFonts w:hint="eastAsia" w:asciiTheme="minorEastAsia" w:hAnsiTheme="minorEastAsia"/>
          <w:b/>
          <w:sz w:val="24"/>
          <w:szCs w:val="24"/>
        </w:rPr>
        <w:t>全程监管留痕。</w:t>
      </w:r>
      <w:r>
        <w:rPr>
          <w:rFonts w:hint="eastAsia" w:asciiTheme="minorEastAsia" w:hAnsiTheme="minorEastAsia"/>
          <w:sz w:val="24"/>
          <w:szCs w:val="24"/>
        </w:rPr>
        <w:t>学位论文全程信息化管理，学位授予全程信息化留痕，加强过程管理和关键节点监督，随时查阅，随时复核，实现学位授予质量提升。导师团队、答辩委员会成员名单、评阅答辩意见等信息编入学生学位论文档案。</w:t>
      </w:r>
    </w:p>
    <w:p>
      <w:pPr>
        <w:spacing w:line="360" w:lineRule="auto"/>
        <w:ind w:firstLine="482" w:firstLineChars="200"/>
        <w:rPr>
          <w:rFonts w:asciiTheme="minorEastAsia" w:hAnsiTheme="minorEastAsia"/>
          <w:sz w:val="24"/>
          <w:szCs w:val="24"/>
        </w:rPr>
      </w:pPr>
      <w:r>
        <w:rPr>
          <w:rFonts w:hint="eastAsia" w:asciiTheme="minorEastAsia" w:hAnsiTheme="minorEastAsia"/>
          <w:b/>
          <w:sz w:val="24"/>
          <w:szCs w:val="24"/>
        </w:rPr>
        <w:t>2</w:t>
      </w:r>
      <w:r>
        <w:rPr>
          <w:rFonts w:asciiTheme="minorEastAsia" w:hAnsiTheme="minorEastAsia"/>
          <w:b/>
          <w:sz w:val="24"/>
          <w:szCs w:val="24"/>
        </w:rPr>
        <w:t xml:space="preserve">. </w:t>
      </w:r>
      <w:r>
        <w:rPr>
          <w:rFonts w:hint="eastAsia" w:asciiTheme="minorEastAsia" w:hAnsiTheme="minorEastAsia"/>
          <w:b/>
          <w:sz w:val="24"/>
          <w:szCs w:val="24"/>
        </w:rPr>
        <w:t>责任溯源倒追。</w:t>
      </w:r>
      <w:r>
        <w:rPr>
          <w:rFonts w:hint="eastAsia" w:asciiTheme="minorEastAsia" w:hAnsiTheme="minorEastAsia"/>
          <w:sz w:val="24"/>
          <w:szCs w:val="24"/>
        </w:rPr>
        <w:t>学位授予过程中，任何环节发现问题即刻倒追前置环节。对于校学位评定委员会认定质量不合格而不授予学位的论文，或其它方式认定的存在质量问题论文（如抽检中确定的“存在问题”学位论文等），逐级溯源追责，并根据学校有关规定进行处理。</w:t>
      </w:r>
    </w:p>
    <w:p>
      <w:pPr>
        <w:spacing w:line="360" w:lineRule="auto"/>
        <w:ind w:firstLine="482" w:firstLineChars="200"/>
        <w:rPr>
          <w:rFonts w:asciiTheme="minorEastAsia" w:hAnsiTheme="minorEastAsia"/>
          <w:b/>
          <w:sz w:val="24"/>
          <w:szCs w:val="24"/>
        </w:rPr>
      </w:pPr>
      <w:r>
        <w:rPr>
          <w:rFonts w:hint="eastAsia" w:asciiTheme="minorEastAsia" w:hAnsiTheme="minorEastAsia"/>
          <w:b/>
          <w:sz w:val="24"/>
          <w:szCs w:val="24"/>
        </w:rPr>
        <w:t>第五条 博士生利益诉求表达机制。</w:t>
      </w:r>
      <w:r>
        <w:rPr>
          <w:rFonts w:hint="eastAsia" w:asciiTheme="minorEastAsia" w:hAnsiTheme="minorEastAsia"/>
          <w:sz w:val="24"/>
          <w:szCs w:val="24"/>
        </w:rPr>
        <w:t>本细则实施过程中产生的争议，博士研究生可在接到学院通知之日起5个工作日内，以书面形式向学位评定分委员会提出申诉。由学位评定分委员会进行调查，并做出处理意见。对学位评定分委员会处理意见不服的，可</w:t>
      </w:r>
      <w:r>
        <w:rPr>
          <w:rFonts w:hint="eastAsia" w:ascii="宋体" w:hAnsi="宋体" w:eastAsia="宋体" w:cs="宋体"/>
          <w:sz w:val="24"/>
          <w:szCs w:val="24"/>
        </w:rPr>
        <w:t>自收到处理意见之日起5个工作日内，以书面形式</w:t>
      </w:r>
      <w:r>
        <w:rPr>
          <w:rFonts w:hint="eastAsia" w:asciiTheme="minorEastAsia" w:hAnsiTheme="minorEastAsia"/>
          <w:sz w:val="24"/>
          <w:szCs w:val="24"/>
        </w:rPr>
        <w:t>向校学位评定委员会申请，并由校学位评定委员会或其委托的专家组最终裁定。无正当理由未在规定期限内提出的申诉将不予受理，申诉全过程留痕并进入学位论文档案。</w:t>
      </w:r>
    </w:p>
    <w:p>
      <w:pPr>
        <w:spacing w:line="360" w:lineRule="auto"/>
        <w:ind w:firstLine="482" w:firstLineChars="200"/>
        <w:rPr>
          <w:rFonts w:asciiTheme="minorEastAsia" w:hAnsiTheme="minorEastAsia"/>
          <w:sz w:val="24"/>
          <w:szCs w:val="24"/>
        </w:rPr>
      </w:pPr>
      <w:r>
        <w:rPr>
          <w:rFonts w:hint="eastAsia" w:asciiTheme="minorEastAsia" w:hAnsiTheme="minorEastAsia"/>
          <w:b/>
          <w:sz w:val="24"/>
          <w:szCs w:val="24"/>
        </w:rPr>
        <w:t>第六条 适用范围。</w:t>
      </w:r>
      <w:r>
        <w:rPr>
          <w:rFonts w:hint="eastAsia" w:asciiTheme="minorEastAsia" w:hAnsiTheme="minorEastAsia"/>
          <w:sz w:val="24"/>
          <w:szCs w:val="24"/>
        </w:rPr>
        <w:t xml:space="preserve">管理科学与工程一级学科2022级及以后入学的博士研究生（含港澳台学生和来华留学生）申请学位适用本细则。 </w:t>
      </w:r>
    </w:p>
    <w:p>
      <w:pPr>
        <w:spacing w:line="360" w:lineRule="auto"/>
        <w:ind w:firstLine="480" w:firstLineChars="200"/>
        <w:rPr>
          <w:rFonts w:asciiTheme="minorEastAsia" w:hAnsiTheme="minorEastAsia"/>
          <w:sz w:val="24"/>
          <w:szCs w:val="24"/>
        </w:rPr>
      </w:pPr>
      <w:r>
        <w:rPr>
          <w:rFonts w:hint="eastAsia" w:asciiTheme="minorEastAsia" w:hAnsiTheme="minorEastAsia"/>
          <w:sz w:val="24"/>
          <w:szCs w:val="24"/>
        </w:rPr>
        <w:t xml:space="preserve">2022级之前的博士在校研究生（含港澳台学生和来华留学生），申请学位可选择适用本细则（需同时符合答辩前要求）或《上海财经大学学位工作细则》（上财研【2016】50号）及相关规定。 </w:t>
      </w:r>
    </w:p>
    <w:p>
      <w:pPr>
        <w:spacing w:line="360" w:lineRule="auto"/>
        <w:ind w:firstLine="480" w:firstLineChars="200"/>
        <w:rPr>
          <w:rFonts w:asciiTheme="minorEastAsia" w:hAnsiTheme="minorEastAsia"/>
          <w:sz w:val="24"/>
          <w:szCs w:val="24"/>
        </w:rPr>
      </w:pPr>
      <w:r>
        <w:rPr>
          <w:rFonts w:hint="eastAsia" w:asciiTheme="minorEastAsia" w:hAnsiTheme="minorEastAsia"/>
          <w:sz w:val="24"/>
          <w:szCs w:val="24"/>
        </w:rPr>
        <w:t>根据《上海财经大学学位工作细则》（上财研【2016】50号）第十三条第二款已经毕业尚未申请学位的，原则上适用《上海财经大学学位工作细则》（上财研【2016】50号）及相关规定设置的标准。如果答辩前已经完成本细则规定标准，经学位评定分委员会审核同意可以适用本细则。</w:t>
      </w:r>
    </w:p>
    <w:p>
      <w:pPr>
        <w:spacing w:line="360" w:lineRule="auto"/>
      </w:pPr>
    </w:p>
    <w:p>
      <w:pPr>
        <w:spacing w:line="360" w:lineRule="auto"/>
        <w:ind w:firstLine="480" w:firstLineChars="200"/>
        <w:rPr>
          <w:sz w:val="24"/>
          <w:szCs w:val="24"/>
        </w:rPr>
      </w:pPr>
      <w:r>
        <w:rPr>
          <w:rFonts w:hint="eastAsia"/>
          <w:sz w:val="24"/>
          <w:szCs w:val="24"/>
        </w:rPr>
        <w:t>本细则自发布之日起执行，解释权归上海财经大学管理科学与工程一级学科学位评定分委员会。</w:t>
      </w:r>
    </w:p>
    <w:p>
      <w:pPr>
        <w:spacing w:line="360" w:lineRule="auto"/>
      </w:pPr>
    </w:p>
    <w:p>
      <w:pPr>
        <w:spacing w:line="360" w:lineRule="auto"/>
      </w:pPr>
    </w:p>
    <w:p>
      <w:pPr>
        <w:spacing w:line="360" w:lineRule="auto"/>
        <w:jc w:val="right"/>
      </w:pPr>
    </w:p>
    <w:sectPr>
      <w:headerReference r:id="rId3" w:type="default"/>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4982726"/>
      <w:docPartObj>
        <w:docPartGallery w:val="AutoText"/>
      </w:docPartObj>
    </w:sdtPr>
    <w:sdtEndPr>
      <w:rPr>
        <w:rFonts w:ascii="Times New Roman" w:hAnsi="Times New Roman" w:cs="Times New Roman"/>
        <w:sz w:val="21"/>
        <w:szCs w:val="21"/>
      </w:rPr>
    </w:sdtEndPr>
    <w:sdtContent>
      <w:p>
        <w:pPr>
          <w:pStyle w:val="3"/>
          <w:jc w:val="center"/>
          <w:rPr>
            <w:rFonts w:ascii="Times New Roman" w:hAnsi="Times New Roman" w:cs="Times New Roman"/>
            <w:sz w:val="21"/>
            <w:szCs w:val="21"/>
          </w:rPr>
        </w:pPr>
        <w:r>
          <w:rPr>
            <w:rFonts w:ascii="Times New Roman" w:hAnsi="Times New Roman" w:cs="Times New Roman"/>
            <w:sz w:val="21"/>
            <w:szCs w:val="21"/>
          </w:rPr>
          <w:t>SUFE-1201-</w:t>
        </w:r>
        <w:r>
          <w:rPr>
            <w:rFonts w:ascii="Times New Roman" w:hAnsi="Times New Roman" w:cs="Times New Roman"/>
            <w:sz w:val="21"/>
            <w:szCs w:val="21"/>
          </w:rPr>
          <w:fldChar w:fldCharType="begin"/>
        </w:r>
        <w:r>
          <w:rPr>
            <w:rFonts w:ascii="Times New Roman" w:hAnsi="Times New Roman" w:cs="Times New Roman"/>
            <w:sz w:val="21"/>
            <w:szCs w:val="21"/>
          </w:rPr>
          <w:instrText xml:space="preserve">PAGE   \* MERGEFORMAT</w:instrText>
        </w:r>
        <w:r>
          <w:rPr>
            <w:rFonts w:ascii="Times New Roman" w:hAnsi="Times New Roman" w:cs="Times New Roman"/>
            <w:sz w:val="21"/>
            <w:szCs w:val="21"/>
          </w:rPr>
          <w:fldChar w:fldCharType="separate"/>
        </w:r>
        <w:r>
          <w:rPr>
            <w:rFonts w:ascii="Times New Roman" w:hAnsi="Times New Roman" w:cs="Times New Roman"/>
            <w:sz w:val="21"/>
            <w:szCs w:val="21"/>
            <w:lang w:val="zh-CN"/>
          </w:rPr>
          <w:t>5</w:t>
        </w:r>
        <w:r>
          <w:rPr>
            <w:rFonts w:ascii="Times New Roman" w:hAnsi="Times New Roman" w:cs="Times New Roman"/>
            <w:sz w:val="21"/>
            <w:szCs w:val="21"/>
          </w:rPr>
          <w:fldChar w:fldCharType="end"/>
        </w:r>
      </w:p>
    </w:sdtContent>
  </w:sdt>
  <w:p>
    <w:pPr>
      <w:pStyle w:val="3"/>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360" w:lineRule="auto"/>
      <w:jc w:val="right"/>
      <w:rPr>
        <w:rFonts w:ascii="Times New Roman" w:hAnsi="Times New Roman" w:eastAsia="楷体" w:cs="宋体"/>
        <w:b/>
        <w:sz w:val="24"/>
        <w:szCs w:val="32"/>
      </w:rPr>
    </w:pPr>
    <w:r>
      <w:rPr>
        <w:rFonts w:hint="eastAsia" w:ascii="Times New Roman" w:hAnsi="Times New Roman" w:eastAsia="楷体" w:cs="宋体"/>
        <w:b/>
        <w:sz w:val="24"/>
        <w:szCs w:val="32"/>
      </w:rPr>
      <w:t>【版本号】</w:t>
    </w:r>
    <w:r>
      <w:rPr>
        <w:rFonts w:ascii="Times New Roman" w:hAnsi="Times New Roman" w:eastAsia="楷体" w:cs="宋体"/>
        <w:b/>
        <w:sz w:val="24"/>
        <w:szCs w:val="32"/>
      </w:rPr>
      <w:t>SUFE</w:t>
    </w:r>
    <w:r>
      <w:rPr>
        <w:rFonts w:hint="eastAsia" w:ascii="Times New Roman" w:hAnsi="Times New Roman" w:eastAsia="楷体" w:cs="宋体"/>
        <w:b/>
        <w:sz w:val="24"/>
        <w:szCs w:val="32"/>
      </w:rPr>
      <w:t>-</w:t>
    </w:r>
    <w:r>
      <w:rPr>
        <w:rFonts w:ascii="Times New Roman" w:hAnsi="Times New Roman" w:eastAsia="楷体" w:cs="宋体"/>
        <w:b/>
        <w:sz w:val="24"/>
        <w:szCs w:val="32"/>
      </w:rPr>
      <w:t>1201GLKXYGC</w:t>
    </w:r>
    <w:r>
      <w:rPr>
        <w:rFonts w:hint="eastAsia" w:ascii="Times New Roman" w:hAnsi="Times New Roman" w:eastAsia="楷体" w:cs="宋体"/>
        <w:b/>
        <w:sz w:val="24"/>
        <w:szCs w:val="32"/>
      </w:rPr>
      <w:t>-</w:t>
    </w:r>
    <w:r>
      <w:rPr>
        <w:rFonts w:ascii="Times New Roman" w:hAnsi="Times New Roman" w:eastAsia="楷体" w:cs="宋体"/>
        <w:b/>
        <w:sz w:val="24"/>
        <w:szCs w:val="32"/>
      </w:rPr>
      <w:t>20221121</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trackRevisions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jJkOTJhNTA1Y2I4ZjlkYWQzODdhYzgyZjA1ODhmZTMifQ=="/>
  </w:docVars>
  <w:rsids>
    <w:rsidRoot w:val="00B52826"/>
    <w:rsid w:val="00004B9C"/>
    <w:rsid w:val="000104C8"/>
    <w:rsid w:val="00011149"/>
    <w:rsid w:val="000652D7"/>
    <w:rsid w:val="00086AF4"/>
    <w:rsid w:val="000C2342"/>
    <w:rsid w:val="000C549F"/>
    <w:rsid w:val="001318D0"/>
    <w:rsid w:val="00154D4A"/>
    <w:rsid w:val="00175246"/>
    <w:rsid w:val="001B7EBB"/>
    <w:rsid w:val="001C0E90"/>
    <w:rsid w:val="001D1671"/>
    <w:rsid w:val="001F6069"/>
    <w:rsid w:val="0027068F"/>
    <w:rsid w:val="00297ED4"/>
    <w:rsid w:val="002C3C37"/>
    <w:rsid w:val="002D1334"/>
    <w:rsid w:val="002E5F4D"/>
    <w:rsid w:val="00300172"/>
    <w:rsid w:val="00314BB0"/>
    <w:rsid w:val="003171AF"/>
    <w:rsid w:val="00361613"/>
    <w:rsid w:val="00382BB8"/>
    <w:rsid w:val="003A6AE2"/>
    <w:rsid w:val="0045222A"/>
    <w:rsid w:val="00452DEB"/>
    <w:rsid w:val="004A767E"/>
    <w:rsid w:val="004D6A77"/>
    <w:rsid w:val="004E0793"/>
    <w:rsid w:val="004E6542"/>
    <w:rsid w:val="00500185"/>
    <w:rsid w:val="00516826"/>
    <w:rsid w:val="005570EA"/>
    <w:rsid w:val="0057516F"/>
    <w:rsid w:val="00575E3C"/>
    <w:rsid w:val="005920CC"/>
    <w:rsid w:val="005B027A"/>
    <w:rsid w:val="005D1C72"/>
    <w:rsid w:val="005E71F4"/>
    <w:rsid w:val="006215EE"/>
    <w:rsid w:val="0062722B"/>
    <w:rsid w:val="00631549"/>
    <w:rsid w:val="00646A71"/>
    <w:rsid w:val="0066300B"/>
    <w:rsid w:val="00670678"/>
    <w:rsid w:val="006A0129"/>
    <w:rsid w:val="006E5F46"/>
    <w:rsid w:val="006F3196"/>
    <w:rsid w:val="006F7FFB"/>
    <w:rsid w:val="007111CA"/>
    <w:rsid w:val="00711F4D"/>
    <w:rsid w:val="00734AE9"/>
    <w:rsid w:val="00780CA6"/>
    <w:rsid w:val="007F7BCF"/>
    <w:rsid w:val="00802A30"/>
    <w:rsid w:val="00836035"/>
    <w:rsid w:val="00840909"/>
    <w:rsid w:val="00871809"/>
    <w:rsid w:val="00883402"/>
    <w:rsid w:val="00887298"/>
    <w:rsid w:val="008A33DF"/>
    <w:rsid w:val="008C6517"/>
    <w:rsid w:val="008D375C"/>
    <w:rsid w:val="008D38E6"/>
    <w:rsid w:val="009015EF"/>
    <w:rsid w:val="00906C5F"/>
    <w:rsid w:val="009121B7"/>
    <w:rsid w:val="009235B3"/>
    <w:rsid w:val="009551DF"/>
    <w:rsid w:val="009555B7"/>
    <w:rsid w:val="009739D8"/>
    <w:rsid w:val="0097728E"/>
    <w:rsid w:val="0097763F"/>
    <w:rsid w:val="0098177C"/>
    <w:rsid w:val="0099125E"/>
    <w:rsid w:val="009C7990"/>
    <w:rsid w:val="009D7BA3"/>
    <w:rsid w:val="009E38AC"/>
    <w:rsid w:val="00A068F3"/>
    <w:rsid w:val="00A4348B"/>
    <w:rsid w:val="00A47BB9"/>
    <w:rsid w:val="00A84F08"/>
    <w:rsid w:val="00AA7AB9"/>
    <w:rsid w:val="00AB14AB"/>
    <w:rsid w:val="00AE13DC"/>
    <w:rsid w:val="00B27B99"/>
    <w:rsid w:val="00B52826"/>
    <w:rsid w:val="00B61E06"/>
    <w:rsid w:val="00B7689C"/>
    <w:rsid w:val="00B8296E"/>
    <w:rsid w:val="00BD36CC"/>
    <w:rsid w:val="00BD7C98"/>
    <w:rsid w:val="00C17750"/>
    <w:rsid w:val="00CC0BA8"/>
    <w:rsid w:val="00CD291D"/>
    <w:rsid w:val="00CF4EA6"/>
    <w:rsid w:val="00D05178"/>
    <w:rsid w:val="00D12EE6"/>
    <w:rsid w:val="00D709D4"/>
    <w:rsid w:val="00D714B2"/>
    <w:rsid w:val="00D94706"/>
    <w:rsid w:val="00DB4FFA"/>
    <w:rsid w:val="00DD265F"/>
    <w:rsid w:val="00E00B02"/>
    <w:rsid w:val="00E12281"/>
    <w:rsid w:val="00E22EFF"/>
    <w:rsid w:val="00E510CC"/>
    <w:rsid w:val="00E6711D"/>
    <w:rsid w:val="00E8281C"/>
    <w:rsid w:val="00E83D08"/>
    <w:rsid w:val="00E92A31"/>
    <w:rsid w:val="00EA66D7"/>
    <w:rsid w:val="00EF5466"/>
    <w:rsid w:val="00F2110F"/>
    <w:rsid w:val="00F256B0"/>
    <w:rsid w:val="00F5744B"/>
    <w:rsid w:val="00F877CF"/>
    <w:rsid w:val="00FA0D76"/>
    <w:rsid w:val="00FB39E9"/>
    <w:rsid w:val="00FB7E91"/>
    <w:rsid w:val="00FD3363"/>
    <w:rsid w:val="00FE2F97"/>
    <w:rsid w:val="5DF239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10"/>
    <w:semiHidden/>
    <w:unhideWhenUsed/>
    <w:qFormat/>
    <w:uiPriority w:val="99"/>
    <w:rPr>
      <w:sz w:val="18"/>
      <w:szCs w:val="18"/>
    </w:rPr>
  </w:style>
  <w:style w:type="paragraph" w:styleId="3">
    <w:name w:val="footer"/>
    <w:basedOn w:val="1"/>
    <w:link w:val="9"/>
    <w:unhideWhenUsed/>
    <w:qFormat/>
    <w:uiPriority w:val="99"/>
    <w:pPr>
      <w:tabs>
        <w:tab w:val="center" w:pos="4153"/>
        <w:tab w:val="right" w:pos="8306"/>
      </w:tabs>
      <w:snapToGrid w:val="0"/>
      <w:jc w:val="left"/>
    </w:pPr>
    <w:rPr>
      <w:sz w:val="18"/>
      <w:szCs w:val="18"/>
    </w:rPr>
  </w:style>
  <w:style w:type="paragraph" w:styleId="4">
    <w:name w:val="header"/>
    <w:basedOn w:val="1"/>
    <w:link w:val="8"/>
    <w:unhideWhenUsed/>
    <w:uiPriority w:val="99"/>
    <w:pPr>
      <w:pBdr>
        <w:bottom w:val="single" w:color="auto" w:sz="6" w:space="1"/>
      </w:pBdr>
      <w:tabs>
        <w:tab w:val="center" w:pos="4153"/>
        <w:tab w:val="right" w:pos="8306"/>
      </w:tabs>
      <w:snapToGrid w:val="0"/>
      <w:jc w:val="center"/>
    </w:pPr>
    <w:rPr>
      <w:sz w:val="18"/>
      <w:szCs w:val="18"/>
    </w:rPr>
  </w:style>
  <w:style w:type="paragraph" w:styleId="7">
    <w:name w:val="List Paragraph"/>
    <w:basedOn w:val="1"/>
    <w:qFormat/>
    <w:uiPriority w:val="34"/>
    <w:pPr>
      <w:ind w:firstLine="420" w:firstLineChars="200"/>
    </w:pPr>
  </w:style>
  <w:style w:type="character" w:customStyle="1" w:styleId="8">
    <w:name w:val="页眉 字符"/>
    <w:basedOn w:val="6"/>
    <w:link w:val="4"/>
    <w:qFormat/>
    <w:uiPriority w:val="99"/>
    <w:rPr>
      <w:sz w:val="18"/>
      <w:szCs w:val="18"/>
    </w:rPr>
  </w:style>
  <w:style w:type="character" w:customStyle="1" w:styleId="9">
    <w:name w:val="页脚 字符"/>
    <w:basedOn w:val="6"/>
    <w:link w:val="3"/>
    <w:uiPriority w:val="99"/>
    <w:rPr>
      <w:sz w:val="18"/>
      <w:szCs w:val="18"/>
    </w:rPr>
  </w:style>
  <w:style w:type="character" w:customStyle="1" w:styleId="10">
    <w:name w:val="批注框文本 字符"/>
    <w:basedOn w:val="6"/>
    <w:link w:val="2"/>
    <w:semiHidden/>
    <w:uiPriority w:val="99"/>
    <w:rPr>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493C85-BD23-4239-8E5E-C0396B652B63}">
  <ds:schemaRefs/>
</ds:datastoreItem>
</file>

<file path=docProps/app.xml><?xml version="1.0" encoding="utf-8"?>
<Properties xmlns="http://schemas.openxmlformats.org/officeDocument/2006/extended-properties" xmlns:vt="http://schemas.openxmlformats.org/officeDocument/2006/docPropsVTypes">
  <Template>Normal</Template>
  <Pages>5</Pages>
  <Words>3290</Words>
  <Characters>3348</Characters>
  <Lines>24</Lines>
  <Paragraphs>6</Paragraphs>
  <TotalTime>139</TotalTime>
  <ScaleCrop>false</ScaleCrop>
  <LinksUpToDate>false</LinksUpToDate>
  <CharactersWithSpaces>3389</CharactersWithSpaces>
  <Application>WPS Office_11.1.0.12763_F1E327BC-269C-435d-A152-05C5408002CA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2022-10-27T03:01:00Z</dcterms:created>
  <dc:creator>usr</dc:creator>
  <cp:lastModifiedBy>杜佳芮</cp:lastModifiedBy>
  <cp:lastPrinted>2022-11-21T05:49:00Z</cp:lastPrinted>
  <dcterms:modified xsi:type="dcterms:W3CDTF">2022-11-24T05:54:41Z</dcterms:modified>
  <cp:revision>38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2052-11.1.0.12763</vt:lpwstr>
  </property>
  <property fmtid="{D5CDD505-2E9C-101B-9397-08002B2CF9AE}" pid="3" name="ICV">
    <vt:lpwstr>11908C2BC3674DE0971FEF5632FE7F41</vt:lpwstr>
  </property>
</Properties>
</file>