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285" w:hRule="auto"/>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January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LTVIP2026TMIDS70401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Heritage Treasures: An In-Depth Analysis of UNESCO World Heritage Sites in Tableau</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problem statement to understand your customer's point of view. The Customer Problem Statement template helps you focus on what matters to create experiences people will love.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664" w:dyaOrig="4041">
          <v:rect xmlns:o="urn:schemas-microsoft-com:office:office" xmlns:v="urn:schemas-microsoft-com:vml" id="rectole0000000000" style="width:433.200000pt;height:202.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074" w:dyaOrig="1679">
          <v:rect xmlns:o="urn:schemas-microsoft-com:office:office" xmlns:v="urn:schemas-microsoft-com:vml" id="rectole0000000001" style="width:403.700000pt;height:83.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tbl>
      <w:tblPr/>
      <w:tblGrid>
        <w:gridCol w:w="1838"/>
        <w:gridCol w:w="1418"/>
        <w:gridCol w:w="1559"/>
        <w:gridCol w:w="1207"/>
        <w:gridCol w:w="1501"/>
        <w:gridCol w:w="2537"/>
      </w:tblGrid>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Problem Statement (PS)</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 am (Customer)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I’m trying to</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But</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Because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Which makes me feel</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PS-1</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