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t xml:space="preserve"/>
      </w:r>
    </w:p>
    <w:p>
      <w:pPr>
        <w:spacing w:after="160" w:before="0"/>
        <w:jc w:val="left"/>
      </w:pPr>
      <w:r>
        <w:rPr>
          <w:rFonts w:ascii="Georgia" w:cs="Georgia" w:eastAsia="Georgia" w:hAnsi="Georgia"/>
          <w:b/>
          <w:bCs/>
          <w:color w:val="222222"/>
          <w:sz w:val="52"/>
          <w:szCs w:val="52"/>
        </w:rPr>
        <w:t xml:space="preserve">Data-Driven Marketing Strategy Framework</w:t>
      </w:r>
    </w:p>
    <w:p>
      <w:pPr>
        <w:pBdr>
          <w:bottom w:val="single" w:color="AAAAAA" w:sz="6" w:space="6"/>
        </w:pBdr>
        <w:spacing w:after="80" w:before="0"/>
        <w:jc w:val="left"/>
      </w:pPr>
      <w:r>
        <w:rPr>
          <w:rFonts w:ascii="Georgia" w:cs="Georgia" w:eastAsia="Georgia" w:hAnsi="Georgia"/>
          <w:i/>
          <w:iCs/>
          <w:color w:val="555555"/>
          <w:sz w:val="26"/>
          <w:szCs w:val="26"/>
        </w:rPr>
        <w:t xml:space="preserve">Derived from Correlation Analysis of Nigerian Advertising Campaigns</w:t>
      </w:r>
    </w:p>
    <w:p>
      <w:pPr>
        <w:spacing w:after="80" w:before="0"/>
      </w:pPr>
      <w:r>
        <w:t xml:space="preserve"/>
      </w:r>
    </w:p>
    <w:p>
      <w:pPr>
        <w:spacing w:after="60" w:before="0"/>
      </w:pPr>
      <w:r>
        <w:rPr>
          <w:rFonts w:ascii="Arial" w:cs="Arial" w:eastAsia="Arial" w:hAnsi="Arial"/>
          <w:b/>
          <w:bCs/>
          <w:color w:val="555555"/>
          <w:sz w:val="20"/>
          <w:szCs w:val="20"/>
        </w:rPr>
        <w:t xml:space="preserve">Author: </w:t>
      </w:r>
      <w:r>
        <w:rPr>
          <w:rFonts w:ascii="Arial" w:cs="Arial" w:eastAsia="Arial" w:hAnsi="Arial"/>
          <w:color w:val="555555"/>
          <w:sz w:val="20"/>
          <w:szCs w:val="20"/>
        </w:rPr>
        <w:t xml:space="preserve">YashKarle</w:t>
      </w:r>
    </w:p>
    <w:p>
      <w:pPr>
        <w:spacing w:after="60" w:before="0"/>
      </w:pPr>
      <w:r>
        <w:rPr>
          <w:rFonts w:ascii="Arial" w:cs="Arial" w:eastAsia="Arial" w:hAnsi="Arial"/>
          <w:b/>
          <w:bCs/>
          <w:color w:val="555555"/>
          <w:sz w:val="20"/>
          <w:szCs w:val="20"/>
        </w:rPr>
        <w:t xml:space="preserve">Year: </w:t>
      </w:r>
      <w:r>
        <w:rPr>
          <w:rFonts w:ascii="Arial" w:cs="Arial" w:eastAsia="Arial" w:hAnsi="Arial"/>
          <w:color w:val="555555"/>
          <w:sz w:val="20"/>
          <w:szCs w:val="20"/>
        </w:rPr>
        <w:t xml:space="preserve">2026</w:t>
      </w:r>
    </w:p>
    <w:p>
      <w:pPr>
        <w:spacing w:after="60" w:before="0"/>
      </w:pPr>
      <w:r>
        <w:rPr>
          <w:rFonts w:ascii="Arial" w:cs="Arial" w:eastAsia="Arial" w:hAnsi="Arial"/>
          <w:b/>
          <w:bCs/>
          <w:color w:val="555555"/>
          <w:sz w:val="20"/>
          <w:szCs w:val="20"/>
        </w:rPr>
        <w:t xml:space="preserve">Status: </w:t>
      </w:r>
      <w:r>
        <w:rPr>
          <w:rFonts w:ascii="Arial" w:cs="Arial" w:eastAsia="Arial" w:hAnsi="Arial"/>
          <w:color w:val="555555"/>
          <w:sz w:val="20"/>
          <w:szCs w:val="20"/>
        </w:rPr>
        <w:t xml:space="preserve">Synthesized Reference Document based on Unpublished Research</w:t>
      </w:r>
    </w:p>
    <w:p>
      <w:pPr>
        <w:spacing w:after="60" w:before="0"/>
      </w:pPr>
      <w:r>
        <w:t xml:space="preserve"/>
      </w:r>
    </w:p>
    <w:p>
      <w:pPr>
        <w:spacing w:after="60" w:before="60" w:line="300"/>
      </w:pPr>
      <w:r>
        <w:rPr>
          <w:rFonts w:ascii="Arial" w:cs="Arial" w:eastAsia="Arial" w:hAnsi="Arial"/>
          <w:i/>
          <w:iCs/>
          <w:color w:val="888888"/>
          <w:sz w:val="20"/>
          <w:szCs w:val="20"/>
        </w:rPr>
        <w:t xml:space="preserve">Copyright 2026 YashKarle. All rights reserved. This document synthesizes insights from original, unpublished research. No part of this work may be reproduced or distributed without prior written permission from the author.</w:t>
      </w:r>
    </w:p>
    <w:p>
      <w:pPr>
        <w:spacing w:after="200" w:before="0"/>
      </w:pPr>
      <w:r>
        <w:t xml:space="preserve"/>
      </w:r>
    </w:p>
    <w:p>
      <w:pPr>
        <w:pStyle w:val="Heading1"/>
        <w:spacing w:after="120" w:before="360"/>
      </w:pPr>
      <w:r>
        <w:rPr>
          <w:rFonts w:ascii="Georgia" w:cs="Georgia" w:eastAsia="Georgia" w:hAnsi="Georgia"/>
          <w:b/>
          <w:bCs/>
          <w:color w:val="222222"/>
          <w:sz w:val="36"/>
          <w:szCs w:val="36"/>
        </w:rPr>
        <w:t xml:space="preserve">Executive Summary</w:t>
      </w:r>
    </w:p>
    <w:p>
      <w:pPr>
        <w:spacing w:after="120" w:before="80" w:line="320"/>
      </w:pPr>
      <w:r>
        <w:rPr>
          <w:rFonts w:ascii="Arial" w:cs="Arial" w:eastAsia="Arial" w:hAnsi="Arial"/>
          <w:color w:val="222222"/>
          <w:sz w:val="22"/>
          <w:szCs w:val="22"/>
        </w:rPr>
        <w:t xml:space="preserve">This document consolidates findings from a correlation analysis of key performance indicators (KPIs) across Nigerian digital advertising campaigns into a single, actionable strategy framework. The analysis examines relationships among budget allocation, impressions, clicks, conversions, click-through rate (CTR), conversion rate, cost per click (CPC), and return on investment (ROI).</w:t>
      </w:r>
    </w:p>
    <w:p>
      <w:pPr>
        <w:spacing w:after="60" w:before="0"/>
      </w:pPr>
      <w:r>
        <w:t xml:space="preserve"/>
      </w:r>
    </w:p>
    <w:p>
      <w:pPr>
        <w:spacing w:after="120" w:before="80" w:line="320"/>
      </w:pPr>
      <w:r>
        <w:rPr>
          <w:rFonts w:ascii="Arial" w:cs="Arial" w:eastAsia="Arial" w:hAnsi="Arial"/>
          <w:color w:val="222222"/>
          <w:sz w:val="22"/>
          <w:szCs w:val="22"/>
        </w:rPr>
        <w:t xml:space="preserve">The central finding is straightforward but consequential: the marketing funnel is structurally sound, but financial scale alone does not drive profitability. Budget and CPC show near-zero correlation with every performance metric, while the sequential funnel from Impressions to Clicks to Conversions holds statistically strong. This means performance gains are achieved through better execution, not higher spend.</w:t>
      </w:r>
    </w:p>
    <w:p>
      <w:pPr>
        <w:spacing w:after="60" w:before="0"/>
      </w:pPr>
      <w:r>
        <w:t xml:space="preserve"/>
      </w:r>
    </w:p>
    <w:p>
      <w:pPr>
        <w:spacing w:after="120" w:before="80" w:line="320"/>
      </w:pPr>
      <w:r>
        <w:rPr>
          <w:rFonts w:ascii="Arial" w:cs="Arial" w:eastAsia="Arial" w:hAnsi="Arial"/>
          <w:color w:val="222222"/>
          <w:sz w:val="22"/>
          <w:szCs w:val="22"/>
        </w:rPr>
        <w:t xml:space="preserve">This document is intended to serve as a reference for marketing decision-makers, campaign managers, and strategists seeking evidence-based direction for resource allocation and campaign optimization.</w:t>
      </w:r>
    </w:p>
    <w:p>
      <w:pPr>
        <w:spacing w:after="160" w:before="0"/>
      </w:pPr>
      <w:r>
        <w:t xml:space="preserve"/>
      </w:r>
    </w:p>
    <w:p>
      <w:pPr>
        <w:pStyle w:val="Heading1"/>
        <w:spacing w:after="120" w:before="360"/>
      </w:pPr>
      <w:r>
        <w:rPr>
          <w:rFonts w:ascii="Georgia" w:cs="Georgia" w:eastAsia="Georgia" w:hAnsi="Georgia"/>
          <w:b/>
          <w:bCs/>
          <w:color w:val="222222"/>
          <w:sz w:val="36"/>
          <w:szCs w:val="36"/>
        </w:rPr>
        <w:t xml:space="preserve">Section 1: Understanding the Correlation Matrix</w:t>
      </w:r>
    </w:p>
    <w:p>
      <w:pPr>
        <w:pStyle w:val="Heading2"/>
        <w:pBdr>
          <w:bottom w:val="single" w:color="AAAAAA" w:sz="4" w:space="4"/>
        </w:pBdr>
        <w:spacing w:after="100" w:before="280"/>
      </w:pPr>
      <w:r>
        <w:rPr>
          <w:rFonts w:ascii="Georgia" w:cs="Georgia" w:eastAsia="Georgia" w:hAnsi="Georgia"/>
          <w:b/>
          <w:bCs/>
          <w:color w:val="222222"/>
          <w:sz w:val="28"/>
          <w:szCs w:val="28"/>
        </w:rPr>
        <w:t xml:space="preserve">What Correlation Measures</w:t>
      </w:r>
    </w:p>
    <w:p>
      <w:pPr>
        <w:spacing w:after="120" w:before="80" w:line="320"/>
      </w:pPr>
      <w:r>
        <w:rPr>
          <w:rFonts w:ascii="Arial" w:cs="Arial" w:eastAsia="Arial" w:hAnsi="Arial"/>
          <w:color w:val="222222"/>
          <w:sz w:val="22"/>
          <w:szCs w:val="22"/>
        </w:rPr>
        <w:t xml:space="preserve">Correlation coefficients range from -1 to +1 and indicate the strength and direction of a linear relationship between two variables. The table below defines the interpretive ranges used throughout this framework.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E8E8E8" w:val="clear"/>
            <w:tcMar>
              <w:top w:type="dxa" w:w="100"/>
              <w:left w:type="dxa" w:w="140"/>
              <w:bottom w:type="dxa" w:w="100"/>
              <w:right w:type="dxa" w:w="140"/>
            </w:tcMar>
          </w:tcPr>
          <w:p>
            <w:r>
              <w:rPr>
                <w:rFonts w:ascii="Arial" w:cs="Arial" w:eastAsia="Arial" w:hAnsi="Arial"/>
                <w:b/>
                <w:bCs/>
                <w:color w:val="222222"/>
                <w:sz w:val="20"/>
                <w:szCs w:val="20"/>
              </w:rPr>
              <w:t xml:space="preserve">Range</w:t>
            </w:r>
          </w:p>
        </w:tc>
        <w:tc>
          <w:tcPr>
            <w:tcW w:type="dxa" w:w="4680"/>
            <w:tcBorders>
              <w:top w:val="single" w:color="AAAAAA" w:sz="1"/>
              <w:left w:val="single" w:color="AAAAAA" w:sz="1"/>
              <w:bottom w:val="single" w:color="AAAAAA" w:sz="1"/>
              <w:right w:val="single" w:color="AAAAAA" w:sz="1"/>
            </w:tcBorders>
            <w:shd w:fill="E8E8E8" w:val="clear"/>
            <w:tcMar>
              <w:top w:type="dxa" w:w="100"/>
              <w:left w:type="dxa" w:w="140"/>
              <w:bottom w:type="dxa" w:w="100"/>
              <w:right w:type="dxa" w:w="140"/>
            </w:tcMar>
          </w:tcPr>
          <w:p>
            <w:r>
              <w:rPr>
                <w:rFonts w:ascii="Arial" w:cs="Arial" w:eastAsia="Arial" w:hAnsi="Arial"/>
                <w:b/>
                <w:bCs/>
                <w:color w:val="222222"/>
                <w:sz w:val="20"/>
                <w:szCs w:val="20"/>
              </w:rPr>
              <w:t xml:space="preserve">Interpretation</w:t>
            </w:r>
          </w:p>
        </w:tc>
      </w:tr>
      <w:tr>
        <w:tc>
          <w:tcPr>
            <w:tcW w:type="dxa" w:w="46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0.7 to 1.0</w:t>
            </w:r>
          </w:p>
        </w:tc>
        <w:tc>
          <w:tcPr>
            <w:tcW w:type="dxa" w:w="46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Strong positive relationship</w:t>
            </w:r>
          </w:p>
        </w:tc>
      </w:tr>
      <w:tr>
        <w:tc>
          <w:tcPr>
            <w:tcW w:type="dxa" w:w="468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222222"/>
                <w:sz w:val="20"/>
                <w:szCs w:val="20"/>
              </w:rPr>
              <w:t xml:space="preserve">0.4 to 0.69</w:t>
            </w:r>
          </w:p>
        </w:tc>
        <w:tc>
          <w:tcPr>
            <w:tcW w:type="dxa" w:w="468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222222"/>
                <w:sz w:val="20"/>
                <w:szCs w:val="20"/>
              </w:rPr>
              <w:t xml:space="preserve">Moderate positive relationship</w:t>
            </w:r>
          </w:p>
        </w:tc>
      </w:tr>
      <w:tr>
        <w:tc>
          <w:tcPr>
            <w:tcW w:type="dxa" w:w="46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0.1 to 0.39</w:t>
            </w:r>
          </w:p>
        </w:tc>
        <w:tc>
          <w:tcPr>
            <w:tcW w:type="dxa" w:w="46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Weak positive relationship</w:t>
            </w:r>
          </w:p>
        </w:tc>
      </w:tr>
      <w:tr>
        <w:tc>
          <w:tcPr>
            <w:tcW w:type="dxa" w:w="468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222222"/>
                <w:sz w:val="20"/>
                <w:szCs w:val="20"/>
              </w:rPr>
              <w:t xml:space="preserve">Approximately 0.0</w:t>
            </w:r>
          </w:p>
        </w:tc>
        <w:tc>
          <w:tcPr>
            <w:tcW w:type="dxa" w:w="468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222222"/>
                <w:sz w:val="20"/>
                <w:szCs w:val="20"/>
              </w:rPr>
              <w:t xml:space="preserve">No meaningful relationship</w:t>
            </w:r>
          </w:p>
        </w:tc>
      </w:tr>
      <w:tr>
        <w:tc>
          <w:tcPr>
            <w:tcW w:type="dxa" w:w="46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Negative values</w:t>
            </w:r>
          </w:p>
        </w:tc>
        <w:tc>
          <w:tcPr>
            <w:tcW w:type="dxa" w:w="46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Inverse relationship</w:t>
            </w:r>
          </w:p>
        </w:tc>
      </w:tr>
    </w:tbl>
    <w:p>
      <w:pPr>
        <w:spacing w:after="120" w:before="0"/>
      </w:pPr>
      <w:r>
        <w:t xml:space="preserve"/>
      </w:r>
    </w:p>
    <w:p>
      <w:pPr>
        <w:pStyle w:val="Heading2"/>
        <w:pBdr>
          <w:bottom w:val="single" w:color="AAAAAA" w:sz="4" w:space="4"/>
        </w:pBdr>
        <w:spacing w:after="100" w:before="280"/>
      </w:pPr>
      <w:r>
        <w:rPr>
          <w:rFonts w:ascii="Georgia" w:cs="Georgia" w:eastAsia="Georgia" w:hAnsi="Georgia"/>
          <w:b/>
          <w:bCs/>
          <w:color w:val="222222"/>
          <w:sz w:val="28"/>
          <w:szCs w:val="28"/>
        </w:rPr>
        <w:t xml:space="preserve">Key Correlation Values at a Glance</w:t>
      </w:r>
    </w:p>
    <w:p>
      <w:pPr>
        <w:spacing w:after="120" w:before="80" w:line="320"/>
      </w:pPr>
      <w:r>
        <w:rPr>
          <w:rFonts w:ascii="Arial" w:cs="Arial" w:eastAsia="Arial" w:hAnsi="Arial"/>
          <w:color w:val="222222"/>
          <w:sz w:val="22"/>
          <w:szCs w:val="22"/>
        </w:rPr>
        <w:t xml:space="preserve">The following table presents the complete set of correlation values that form the empirical foundation for all strategic recommendations in this document.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60"/>
      </w:tblGrid>
      <w:tr>
        <w:tc>
          <w:tcPr>
            <w:tcW w:type="dxa" w:w="3200"/>
            <w:tcBorders>
              <w:top w:val="single" w:color="AAAAAA" w:sz="1"/>
              <w:left w:val="single" w:color="AAAAAA" w:sz="1"/>
              <w:bottom w:val="single" w:color="AAAAAA" w:sz="1"/>
              <w:right w:val="single" w:color="AAAAAA" w:sz="1"/>
            </w:tcBorders>
            <w:shd w:fill="E8E8E8" w:val="clear"/>
            <w:tcMar>
              <w:top w:type="dxa" w:w="100"/>
              <w:left w:type="dxa" w:w="140"/>
              <w:bottom w:type="dxa" w:w="100"/>
              <w:right w:type="dxa" w:w="140"/>
            </w:tcMar>
          </w:tcPr>
          <w:p>
            <w:r>
              <w:rPr>
                <w:rFonts w:ascii="Arial" w:cs="Arial" w:eastAsia="Arial" w:hAnsi="Arial"/>
                <w:b/>
                <w:bCs/>
                <w:color w:val="222222"/>
                <w:sz w:val="20"/>
                <w:szCs w:val="20"/>
              </w:rPr>
              <w:t xml:space="preserve">Metric Pair</w:t>
            </w:r>
          </w:p>
        </w:tc>
        <w:tc>
          <w:tcPr>
            <w:tcW w:type="dxa" w:w="1800"/>
            <w:tcBorders>
              <w:top w:val="single" w:color="AAAAAA" w:sz="1"/>
              <w:left w:val="single" w:color="AAAAAA" w:sz="1"/>
              <w:bottom w:val="single" w:color="AAAAAA" w:sz="1"/>
              <w:right w:val="single" w:color="AAAAAA" w:sz="1"/>
            </w:tcBorders>
            <w:shd w:fill="E8E8E8" w:val="clear"/>
            <w:tcMar>
              <w:top w:type="dxa" w:w="100"/>
              <w:left w:type="dxa" w:w="140"/>
              <w:bottom w:type="dxa" w:w="100"/>
              <w:right w:type="dxa" w:w="140"/>
            </w:tcMar>
          </w:tcPr>
          <w:p>
            <w:r>
              <w:rPr>
                <w:rFonts w:ascii="Arial" w:cs="Arial" w:eastAsia="Arial" w:hAnsi="Arial"/>
                <w:b/>
                <w:bCs/>
                <w:color w:val="222222"/>
                <w:sz w:val="20"/>
                <w:szCs w:val="20"/>
              </w:rPr>
              <w:t xml:space="preserve">Correlation (r)</w:t>
            </w:r>
          </w:p>
        </w:tc>
        <w:tc>
          <w:tcPr>
            <w:tcW w:type="dxa" w:w="1800"/>
            <w:tcBorders>
              <w:top w:val="single" w:color="AAAAAA" w:sz="1"/>
              <w:left w:val="single" w:color="AAAAAA" w:sz="1"/>
              <w:bottom w:val="single" w:color="AAAAAA" w:sz="1"/>
              <w:right w:val="single" w:color="AAAAAA" w:sz="1"/>
            </w:tcBorders>
            <w:shd w:fill="E8E8E8" w:val="clear"/>
            <w:tcMar>
              <w:top w:type="dxa" w:w="100"/>
              <w:left w:type="dxa" w:w="140"/>
              <w:bottom w:type="dxa" w:w="100"/>
              <w:right w:type="dxa" w:w="140"/>
            </w:tcMar>
          </w:tcPr>
          <w:p>
            <w:r>
              <w:rPr>
                <w:rFonts w:ascii="Arial" w:cs="Arial" w:eastAsia="Arial" w:hAnsi="Arial"/>
                <w:b/>
                <w:bCs/>
                <w:color w:val="222222"/>
                <w:sz w:val="20"/>
                <w:szCs w:val="20"/>
              </w:rPr>
              <w:t xml:space="preserve">Strength</w:t>
            </w:r>
          </w:p>
        </w:tc>
        <w:tc>
          <w:tcPr>
            <w:tcW w:type="dxa" w:w="2560"/>
            <w:tcBorders>
              <w:top w:val="single" w:color="AAAAAA" w:sz="1"/>
              <w:left w:val="single" w:color="AAAAAA" w:sz="1"/>
              <w:bottom w:val="single" w:color="AAAAAA" w:sz="1"/>
              <w:right w:val="single" w:color="AAAAAA" w:sz="1"/>
            </w:tcBorders>
            <w:shd w:fill="E8E8E8" w:val="clear"/>
            <w:tcMar>
              <w:top w:type="dxa" w:w="100"/>
              <w:left w:type="dxa" w:w="140"/>
              <w:bottom w:type="dxa" w:w="100"/>
              <w:right w:type="dxa" w:w="140"/>
            </w:tcMar>
          </w:tcPr>
          <w:p>
            <w:r>
              <w:rPr>
                <w:rFonts w:ascii="Arial" w:cs="Arial" w:eastAsia="Arial" w:hAnsi="Arial"/>
                <w:b/>
                <w:bCs/>
                <w:color w:val="222222"/>
                <w:sz w:val="20"/>
                <w:szCs w:val="20"/>
              </w:rPr>
              <w:t xml:space="preserve">Funnel Stage</w:t>
            </w:r>
          </w:p>
        </w:tc>
      </w:tr>
      <w:tr>
        <w:tc>
          <w:tcPr>
            <w:tcW w:type="dxa" w:w="3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Clicks and Conversions</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0.766</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Strong</w:t>
            </w:r>
          </w:p>
        </w:tc>
        <w:tc>
          <w:tcPr>
            <w:tcW w:type="dxa" w:w="25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Lower funnel</w:t>
            </w:r>
          </w:p>
        </w:tc>
      </w:tr>
      <w:tr>
        <w:tc>
          <w:tcPr>
            <w:tcW w:type="dxa" w:w="32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222222"/>
                <w:sz w:val="20"/>
                <w:szCs w:val="20"/>
              </w:rPr>
              <w:t xml:space="preserve">Impressions and Clicks</w:t>
            </w:r>
          </w:p>
        </w:tc>
        <w:tc>
          <w:tcPr>
            <w:tcW w:type="dxa" w:w="1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222222"/>
                <w:sz w:val="20"/>
                <w:szCs w:val="20"/>
              </w:rPr>
              <w:t xml:space="preserve">0.726</w:t>
            </w:r>
          </w:p>
        </w:tc>
        <w:tc>
          <w:tcPr>
            <w:tcW w:type="dxa" w:w="1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222222"/>
                <w:sz w:val="20"/>
                <w:szCs w:val="20"/>
              </w:rPr>
              <w:t xml:space="preserve">Strong</w:t>
            </w:r>
          </w:p>
        </w:tc>
        <w:tc>
          <w:tcPr>
            <w:tcW w:type="dxa" w:w="25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222222"/>
                <w:sz w:val="20"/>
                <w:szCs w:val="20"/>
              </w:rPr>
              <w:t xml:space="preserve">Upper funnel</w:t>
            </w:r>
          </w:p>
        </w:tc>
      </w:tr>
      <w:tr>
        <w:tc>
          <w:tcPr>
            <w:tcW w:type="dxa" w:w="3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Clicks and CTR</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0.596</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Moderate</w:t>
            </w:r>
          </w:p>
        </w:tc>
        <w:tc>
          <w:tcPr>
            <w:tcW w:type="dxa" w:w="25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Engagement</w:t>
            </w:r>
          </w:p>
        </w:tc>
      </w:tr>
      <w:tr>
        <w:tc>
          <w:tcPr>
            <w:tcW w:type="dxa" w:w="32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222222"/>
                <w:sz w:val="20"/>
                <w:szCs w:val="20"/>
              </w:rPr>
              <w:t xml:space="preserve">Impressions and Conversions</w:t>
            </w:r>
          </w:p>
        </w:tc>
        <w:tc>
          <w:tcPr>
            <w:tcW w:type="dxa" w:w="1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222222"/>
                <w:sz w:val="20"/>
                <w:szCs w:val="20"/>
              </w:rPr>
              <w:t xml:space="preserve">0.556</w:t>
            </w:r>
          </w:p>
        </w:tc>
        <w:tc>
          <w:tcPr>
            <w:tcW w:type="dxa" w:w="1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222222"/>
                <w:sz w:val="20"/>
                <w:szCs w:val="20"/>
              </w:rPr>
              <w:t xml:space="preserve">Moderate</w:t>
            </w:r>
          </w:p>
        </w:tc>
        <w:tc>
          <w:tcPr>
            <w:tcW w:type="dxa" w:w="25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222222"/>
                <w:sz w:val="20"/>
                <w:szCs w:val="20"/>
              </w:rPr>
              <w:t xml:space="preserve">Cross-funnel</w:t>
            </w:r>
          </w:p>
        </w:tc>
      </w:tr>
      <w:tr>
        <w:tc>
          <w:tcPr>
            <w:tcW w:type="dxa" w:w="3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Conversions and Conversion Rate</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0.507</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Moderate</w:t>
            </w:r>
          </w:p>
        </w:tc>
        <w:tc>
          <w:tcPr>
            <w:tcW w:type="dxa" w:w="25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Efficiency</w:t>
            </w:r>
          </w:p>
        </w:tc>
      </w:tr>
      <w:tr>
        <w:tc>
          <w:tcPr>
            <w:tcW w:type="dxa" w:w="32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222222"/>
                <w:sz w:val="20"/>
                <w:szCs w:val="20"/>
              </w:rPr>
              <w:t xml:space="preserve">CTR and Conversions</w:t>
            </w:r>
          </w:p>
        </w:tc>
        <w:tc>
          <w:tcPr>
            <w:tcW w:type="dxa" w:w="1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222222"/>
                <w:sz w:val="20"/>
                <w:szCs w:val="20"/>
              </w:rPr>
              <w:t xml:space="preserve">0.457</w:t>
            </w:r>
          </w:p>
        </w:tc>
        <w:tc>
          <w:tcPr>
            <w:tcW w:type="dxa" w:w="1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222222"/>
                <w:sz w:val="20"/>
                <w:szCs w:val="20"/>
              </w:rPr>
              <w:t xml:space="preserve">Weak to Moderate</w:t>
            </w:r>
          </w:p>
        </w:tc>
        <w:tc>
          <w:tcPr>
            <w:tcW w:type="dxa" w:w="25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222222"/>
                <w:sz w:val="20"/>
                <w:szCs w:val="20"/>
              </w:rPr>
              <w:t xml:space="preserve">Engagement</w:t>
            </w:r>
          </w:p>
        </w:tc>
      </w:tr>
      <w:tr>
        <w:tc>
          <w:tcPr>
            <w:tcW w:type="dxa" w:w="3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Budget and Any Metric</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0.000 to 0.003</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None</w:t>
            </w:r>
          </w:p>
        </w:tc>
        <w:tc>
          <w:tcPr>
            <w:tcW w:type="dxa" w:w="25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Investment</w:t>
            </w:r>
          </w:p>
        </w:tc>
      </w:tr>
      <w:tr>
        <w:tc>
          <w:tcPr>
            <w:tcW w:type="dxa" w:w="32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222222"/>
                <w:sz w:val="20"/>
                <w:szCs w:val="20"/>
              </w:rPr>
              <w:t xml:space="preserve">CPC and ROI</w:t>
            </w:r>
          </w:p>
        </w:tc>
        <w:tc>
          <w:tcPr>
            <w:tcW w:type="dxa" w:w="1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222222"/>
                <w:sz w:val="20"/>
                <w:szCs w:val="20"/>
              </w:rPr>
              <w:t xml:space="preserve">-0.003</w:t>
            </w:r>
          </w:p>
        </w:tc>
        <w:tc>
          <w:tcPr>
            <w:tcW w:type="dxa" w:w="1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222222"/>
                <w:sz w:val="20"/>
                <w:szCs w:val="20"/>
              </w:rPr>
              <w:t xml:space="preserve">None</w:t>
            </w:r>
          </w:p>
        </w:tc>
        <w:tc>
          <w:tcPr>
            <w:tcW w:type="dxa" w:w="25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222222"/>
                <w:sz w:val="20"/>
                <w:szCs w:val="20"/>
              </w:rPr>
              <w:t xml:space="preserve">Cost</w:t>
            </w:r>
          </w:p>
        </w:tc>
      </w:tr>
      <w:tr>
        <w:tc>
          <w:tcPr>
            <w:tcW w:type="dxa" w:w="3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Conversion Rate and ROI</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0.000</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None</w:t>
            </w:r>
          </w:p>
        </w:tc>
        <w:tc>
          <w:tcPr>
            <w:tcW w:type="dxa" w:w="25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Profitability</w:t>
            </w:r>
          </w:p>
        </w:tc>
      </w:tr>
      <w:tr>
        <w:tc>
          <w:tcPr>
            <w:tcW w:type="dxa" w:w="32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222222"/>
                <w:sz w:val="20"/>
                <w:szCs w:val="20"/>
              </w:rPr>
              <w:t xml:space="preserve">CTR and Conversion Rate</w:t>
            </w:r>
          </w:p>
        </w:tc>
        <w:tc>
          <w:tcPr>
            <w:tcW w:type="dxa" w:w="1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222222"/>
                <w:sz w:val="20"/>
                <w:szCs w:val="20"/>
              </w:rPr>
              <w:t xml:space="preserve">0.005</w:t>
            </w:r>
          </w:p>
        </w:tc>
        <w:tc>
          <w:tcPr>
            <w:tcW w:type="dxa" w:w="1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222222"/>
                <w:sz w:val="20"/>
                <w:szCs w:val="20"/>
              </w:rPr>
              <w:t xml:space="preserve">None</w:t>
            </w:r>
          </w:p>
        </w:tc>
        <w:tc>
          <w:tcPr>
            <w:tcW w:type="dxa" w:w="25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222222"/>
                <w:sz w:val="20"/>
                <w:szCs w:val="20"/>
              </w:rPr>
              <w:t xml:space="preserve">Efficiency</w:t>
            </w:r>
          </w:p>
        </w:tc>
      </w:tr>
    </w:tbl>
    <w:p>
      <w:pPr>
        <w:spacing w:after="160" w:before="0"/>
      </w:pPr>
      <w:r>
        <w:t xml:space="preserve"/>
      </w:r>
    </w:p>
    <w:p>
      <w:pPr>
        <w:pStyle w:val="Heading1"/>
        <w:spacing w:after="120" w:before="360"/>
      </w:pPr>
      <w:r>
        <w:rPr>
          <w:rFonts w:ascii="Georgia" w:cs="Georgia" w:eastAsia="Georgia" w:hAnsi="Georgia"/>
          <w:b/>
          <w:bCs/>
          <w:color w:val="222222"/>
          <w:sz w:val="36"/>
          <w:szCs w:val="36"/>
        </w:rPr>
        <w:t xml:space="preserve">Section 2: The Marketing Funnel</w:t>
      </w:r>
    </w:p>
    <w:p>
      <w:pPr>
        <w:pStyle w:val="Heading2"/>
        <w:pBdr>
          <w:bottom w:val="single" w:color="AAAAAA" w:sz="4" w:space="4"/>
        </w:pBdr>
        <w:spacing w:after="100" w:before="280"/>
      </w:pPr>
      <w:r>
        <w:rPr>
          <w:rFonts w:ascii="Georgia" w:cs="Georgia" w:eastAsia="Georgia" w:hAnsi="Georgia"/>
          <w:b/>
          <w:bCs/>
          <w:color w:val="222222"/>
          <w:sz w:val="28"/>
          <w:szCs w:val="28"/>
        </w:rPr>
        <w:t xml:space="preserve">The Funnel Works Sequentially</w:t>
      </w:r>
    </w:p>
    <w:p>
      <w:pPr>
        <w:spacing w:after="120" w:before="80" w:line="320"/>
      </w:pPr>
      <w:r>
        <w:rPr>
          <w:rFonts w:ascii="Arial" w:cs="Arial" w:eastAsia="Arial" w:hAnsi="Arial"/>
          <w:color w:val="222222"/>
          <w:sz w:val="22"/>
          <w:szCs w:val="22"/>
        </w:rPr>
        <w:t xml:space="preserve">The correlation structure validates the classic acquisition funnel. Impressions reliably produce clicks (r = 0.726), and clicks reliably drive conversions (r = 0.766). This is not merely theoretical: the data confirms that each stage feeds meaningfully into the next.</w:t>
      </w:r>
    </w:p>
    <w:p>
      <w:pPr>
        <w:spacing w:after="60" w:before="0"/>
      </w:pPr>
      <w:r>
        <w:t xml:space="preserve"/>
      </w:r>
    </w:p>
    <w:p>
      <w:pPr>
        <w:spacing w:after="120" w:before="80" w:line="320"/>
      </w:pPr>
      <w:r>
        <w:rPr>
          <w:rFonts w:ascii="Arial" w:cs="Arial" w:eastAsia="Arial" w:hAnsi="Arial"/>
          <w:color w:val="222222"/>
          <w:sz w:val="22"/>
          <w:szCs w:val="22"/>
        </w:rPr>
        <w:t xml:space="preserve">The stronger path through the funnel runs via clicks as an intermediary. The direct Impressions to Conversions relationship (r = 0.556), while statistically meaningful, is weaker because conversions are influenced by multiple downstream variables: landing page quality, offer relevance, pricing, and audience intent, all of which lie outside the reach of impression-level optimization.</w:t>
      </w:r>
    </w:p>
    <w:p>
      <w:pPr>
        <w:spacing w:after="60" w:before="0"/>
      </w:pPr>
      <w:r>
        <w:t xml:space="preserve"/>
      </w:r>
    </w:p>
    <w:p>
      <w:pPr>
        <w:spacing w:after="120" w:before="80" w:line="320"/>
      </w:pPr>
      <w:r>
        <w:rPr>
          <w:rFonts w:ascii="Arial" w:cs="Arial" w:eastAsia="Arial" w:hAnsi="Arial"/>
          <w:color w:val="222222"/>
          <w:sz w:val="22"/>
          <w:szCs w:val="22"/>
        </w:rPr>
        <w:t xml:space="preserve">Structurally, the funnel can be understood as follows:</w:t>
      </w:r>
    </w:p>
    <w:p>
      <w:pPr>
        <w:spacing w:after="60" w:before="0"/>
      </w:pPr>
      <w:r>
        <w:t xml:space="preserve"/>
      </w:r>
    </w:p>
    <w:p>
      <w:pPr>
        <w:spacing w:after="80" w:before="80"/>
        <w:jc w:val="center"/>
      </w:pPr>
      <w:r>
        <w:rPr>
          <w:rFonts w:ascii="Courier New" w:cs="Courier New" w:eastAsia="Courier New" w:hAnsi="Courier New"/>
          <w:b/>
          <w:bCs/>
          <w:color w:val="222222"/>
          <w:sz w:val="22"/>
          <w:szCs w:val="22"/>
        </w:rPr>
        <w:t xml:space="preserve">Impressions  (r = 0.726)  Clicks  (r = 0.766)  Conversions</w:t>
      </w:r>
    </w:p>
    <w:p>
      <w:pPr>
        <w:spacing w:after="100" w:before="0"/>
        <w:jc w:val="center"/>
      </w:pPr>
      <w:r>
        <w:rPr>
          <w:rFonts w:ascii="Arial" w:cs="Arial" w:eastAsia="Arial" w:hAnsi="Arial"/>
          <w:i/>
          <w:iCs/>
          <w:color w:val="888888"/>
          <w:sz w:val="20"/>
          <w:szCs w:val="20"/>
        </w:rPr>
        <w:t xml:space="preserve">Indirect path: Impressions to Conversions (r = 0.556, weaker)</w:t>
      </w:r>
    </w:p>
    <w:p>
      <w:pPr>
        <w:spacing w:after="80" w:before="0"/>
      </w:pPr>
      <w:r>
        <w:t xml:space="preserve"/>
      </w:r>
    </w:p>
    <w:p>
      <w:pPr>
        <w:pStyle w:val="Heading2"/>
        <w:pBdr>
          <w:bottom w:val="single" w:color="AAAAAA" w:sz="4" w:space="4"/>
        </w:pBdr>
        <w:spacing w:after="100" w:before="280"/>
      </w:pPr>
      <w:r>
        <w:rPr>
          <w:rFonts w:ascii="Georgia" w:cs="Georgia" w:eastAsia="Georgia" w:hAnsi="Georgia"/>
          <w:b/>
          <w:bCs/>
          <w:color w:val="222222"/>
          <w:sz w:val="28"/>
          <w:szCs w:val="28"/>
        </w:rPr>
        <w:t xml:space="preserve">Why Clicks Are the Critical Lever</w:t>
      </w:r>
    </w:p>
    <w:p>
      <w:pPr>
        <w:spacing w:after="120" w:before="80" w:line="320"/>
      </w:pPr>
      <w:r>
        <w:rPr>
          <w:rFonts w:ascii="Arial" w:cs="Arial" w:eastAsia="Arial" w:hAnsi="Arial"/>
          <w:color w:val="222222"/>
          <w:sz w:val="22"/>
          <w:szCs w:val="22"/>
        </w:rPr>
        <w:t xml:space="preserve">Clicks occupy a unique position in the funnel. They are simultaneously responsive to upstream inputs such as impressions and ad creative quality, and predictive of downstream outputs such as conversions. They are also controllable through targeting choices, creative relevance, and messaging quality. This makes clicks the most strategically valuable metric to optimize.</w:t>
      </w:r>
    </w:p>
    <w:p>
      <w:pPr>
        <w:spacing w:after="60" w:before="0"/>
      </w:pPr>
      <w:r>
        <w:t xml:space="preserve"/>
      </w:r>
    </w:p>
    <w:p>
      <w:pPr>
        <w:spacing w:after="120" w:before="80" w:line="320"/>
      </w:pPr>
      <w:r>
        <w:rPr>
          <w:rFonts w:ascii="Arial" w:cs="Arial" w:eastAsia="Arial" w:hAnsi="Arial"/>
          <w:color w:val="222222"/>
          <w:sz w:val="22"/>
          <w:szCs w:val="22"/>
        </w:rPr>
        <w:t xml:space="preserve">Improving click generation does not improve one metric in isolation. It feeds directly into the strongest conversion predictor in the dataset, producing effects that extend downstream.</w:t>
      </w:r>
    </w:p>
    <w:p>
      <w:pPr>
        <w:spacing w:after="80" w:before="0"/>
      </w:pPr>
      <w:r>
        <w:t xml:space="preserve"/>
      </w:r>
    </w:p>
    <w:p>
      <w:pPr>
        <w:pStyle w:val="Heading2"/>
        <w:pBdr>
          <w:bottom w:val="single" w:color="AAAAAA" w:sz="4" w:space="4"/>
        </w:pBdr>
        <w:spacing w:after="100" w:before="280"/>
      </w:pPr>
      <w:r>
        <w:rPr>
          <w:rFonts w:ascii="Georgia" w:cs="Georgia" w:eastAsia="Georgia" w:hAnsi="Georgia"/>
          <w:b/>
          <w:bCs/>
          <w:color w:val="222222"/>
          <w:sz w:val="28"/>
          <w:szCs w:val="28"/>
        </w:rPr>
        <w:t xml:space="preserve">The Compounding Effect</w:t>
      </w:r>
    </w:p>
    <w:p>
      <w:pPr>
        <w:spacing w:after="120" w:before="80" w:line="320"/>
      </w:pPr>
      <w:r>
        <w:rPr>
          <w:rFonts w:ascii="Arial" w:cs="Arial" w:eastAsia="Arial" w:hAnsi="Arial"/>
          <w:color w:val="222222"/>
          <w:sz w:val="22"/>
          <w:szCs w:val="22"/>
        </w:rPr>
        <w:t xml:space="preserve">Optimizing the Impressions to Clicks relationship creates a compounding improvement across the funnel. A 10 percent increase in click generation from a given impression volume increases the input into the highest-correlation predictor of conversions (r = 0.766). This produces multiplicative performance gains, not merely additive ones.</w:t>
      </w:r>
    </w:p>
    <w:p>
      <w:pPr>
        <w:spacing w:after="60" w:before="0"/>
      </w:pPr>
      <w:r>
        <w:t xml:space="preserve"/>
      </w:r>
    </w:p>
    <w:p>
      <w:pPr>
        <w:spacing w:after="120" w:before="80" w:line="320"/>
      </w:pPr>
      <w:r>
        <w:rPr>
          <w:rFonts w:ascii="Arial" w:cs="Arial" w:eastAsia="Arial" w:hAnsi="Arial"/>
          <w:color w:val="222222"/>
          <w:sz w:val="22"/>
          <w:szCs w:val="22"/>
        </w:rPr>
        <w:t xml:space="preserve">In contrast, attempting to directly maximize the Impressions to Conversions path targets a weaker, noisier pathway and offers less structural leverage. Conversions are affected by factors such as landing page friction, offer attractiveness, pricing structures, and audience intent, all of which dilute the direct relationship between exposure and purchase.</w:t>
      </w:r>
    </w:p>
    <w:p>
      <w:pPr>
        <w:spacing w:after="160" w:before="0"/>
      </w:pPr>
      <w:r>
        <w:t xml:space="preserve"/>
      </w:r>
    </w:p>
    <w:p>
      <w:pPr>
        <w:pStyle w:val="Heading1"/>
        <w:spacing w:after="120" w:before="360"/>
      </w:pPr>
      <w:r>
        <w:rPr>
          <w:rFonts w:ascii="Georgia" w:cs="Georgia" w:eastAsia="Georgia" w:hAnsi="Georgia"/>
          <w:b/>
          <w:bCs/>
          <w:color w:val="222222"/>
          <w:sz w:val="36"/>
          <w:szCs w:val="36"/>
        </w:rPr>
        <w:t xml:space="preserve">Section 3: What the Data Challenges</w:t>
      </w:r>
    </w:p>
    <w:p>
      <w:pPr>
        <w:pStyle w:val="Heading2"/>
        <w:pBdr>
          <w:bottom w:val="single" w:color="AAAAAA" w:sz="4" w:space="4"/>
        </w:pBdr>
        <w:spacing w:after="100" w:before="280"/>
      </w:pPr>
      <w:r>
        <w:rPr>
          <w:rFonts w:ascii="Georgia" w:cs="Georgia" w:eastAsia="Georgia" w:hAnsi="Georgia"/>
          <w:b/>
          <w:bCs/>
          <w:color w:val="222222"/>
          <w:sz w:val="28"/>
          <w:szCs w:val="28"/>
        </w:rPr>
        <w:t xml:space="preserve">Budget Does Not Predict Performance</w:t>
      </w:r>
    </w:p>
    <w:p>
      <w:pPr>
        <w:spacing w:after="120" w:before="80" w:line="320"/>
      </w:pPr>
      <w:r>
        <w:rPr>
          <w:rFonts w:ascii="Arial" w:cs="Arial" w:eastAsia="Arial" w:hAnsi="Arial"/>
          <w:color w:val="222222"/>
          <w:sz w:val="22"/>
          <w:szCs w:val="22"/>
        </w:rPr>
        <w:t xml:space="preserve">Perhaps the most significant finding is that budget has virtually no linear correlation with any performance metric. Spending more does not reliably produce more impressions, more clicks, more conversions, or higher ROI. The correlations between budget and all other KPIs fall between 0.000 and 0.003, which are statistically indistinguishable from zero.</w:t>
      </w:r>
    </w:p>
    <w:p>
      <w:pPr>
        <w:spacing w:after="60" w:before="0"/>
      </w:pPr>
      <w:r>
        <w:t xml:space="preserve"/>
      </w:r>
    </w:p>
    <w:p>
      <w:pPr>
        <w:spacing w:after="120" w:before="80" w:line="320"/>
      </w:pPr>
      <w:r>
        <w:rPr>
          <w:rFonts w:ascii="Arial" w:cs="Arial" w:eastAsia="Arial" w:hAnsi="Arial"/>
          <w:color w:val="222222"/>
          <w:sz w:val="22"/>
          <w:szCs w:val="22"/>
        </w:rPr>
        <w:t xml:space="preserve">This does not mean budget is irrelevant. It means that how budget is allocated matters far more than how much is allocated. Two campaigns with identical budgets can produce dramatically different outcomes depending on channel selection, audience quality, and creative execution. The question should shift from how much to spend to which channels and audiences yield the best return per interaction.</w:t>
      </w:r>
    </w:p>
    <w:p>
      <w:pPr>
        <w:spacing w:after="80" w:before="0"/>
      </w:pPr>
      <w:r>
        <w:t xml:space="preserve"/>
      </w:r>
    </w:p>
    <w:p>
      <w:pPr>
        <w:pStyle w:val="Heading2"/>
        <w:pBdr>
          <w:bottom w:val="single" w:color="AAAAAA" w:sz="4" w:space="4"/>
        </w:pBdr>
        <w:spacing w:after="100" w:before="280"/>
      </w:pPr>
      <w:r>
        <w:rPr>
          <w:rFonts w:ascii="Georgia" w:cs="Georgia" w:eastAsia="Georgia" w:hAnsi="Georgia"/>
          <w:b/>
          <w:bCs/>
          <w:color w:val="222222"/>
          <w:sz w:val="28"/>
          <w:szCs w:val="28"/>
        </w:rPr>
        <w:t xml:space="preserve">CPC Is a Poor Performance Predictor</w:t>
      </w:r>
    </w:p>
    <w:p>
      <w:pPr>
        <w:spacing w:after="120" w:before="80" w:line="320"/>
      </w:pPr>
      <w:r>
        <w:rPr>
          <w:rFonts w:ascii="Arial" w:cs="Arial" w:eastAsia="Arial" w:hAnsi="Arial"/>
          <w:color w:val="222222"/>
          <w:sz w:val="22"/>
          <w:szCs w:val="22"/>
        </w:rPr>
        <w:t xml:space="preserve">Cost per click shows near-zero correlation with both conversions and ROI. High CPC does not indicate high-quality traffic. Low CPC does not guarantee profitable returns. Some expensive clicks convert well; many cheap clicks do not convert at all. Optimizing purely for low CPC risks prioritizing volume over quality and can reduce overall campaign efficiency.</w:t>
      </w:r>
    </w:p>
    <w:p>
      <w:pPr>
        <w:spacing w:after="80" w:before="0"/>
      </w:pPr>
      <w:r>
        <w:t xml:space="preserve"/>
      </w:r>
    </w:p>
    <w:p>
      <w:pPr>
        <w:pStyle w:val="Heading2"/>
        <w:pBdr>
          <w:bottom w:val="single" w:color="AAAAAA" w:sz="4" w:space="4"/>
        </w:pBdr>
        <w:spacing w:after="100" w:before="280"/>
      </w:pPr>
      <w:r>
        <w:rPr>
          <w:rFonts w:ascii="Georgia" w:cs="Georgia" w:eastAsia="Georgia" w:hAnsi="Georgia"/>
          <w:b/>
          <w:bCs/>
          <w:color w:val="222222"/>
          <w:sz w:val="28"/>
          <w:szCs w:val="28"/>
        </w:rPr>
        <w:t xml:space="preserve">CTR and Conversion Rate Are Largely Independent</w:t>
      </w:r>
    </w:p>
    <w:p>
      <w:pPr>
        <w:spacing w:after="120" w:before="80" w:line="320"/>
      </w:pPr>
      <w:r>
        <w:rPr>
          <w:rFonts w:ascii="Arial" w:cs="Arial" w:eastAsia="Arial" w:hAnsi="Arial"/>
          <w:color w:val="222222"/>
          <w:sz w:val="22"/>
          <w:szCs w:val="22"/>
        </w:rPr>
        <w:t xml:space="preserve">CTR shows negligible correlation with conversion rate (r = 0.005). A campaign can achieve a strong click-through rate while still failing to convert users into customers. High engagement at the ad level does not guarantee alignment with purchase intent.</w:t>
      </w:r>
    </w:p>
    <w:p>
      <w:pPr>
        <w:spacing w:after="60" w:before="0"/>
      </w:pPr>
      <w:r>
        <w:t xml:space="preserve"/>
      </w:r>
    </w:p>
    <w:p>
      <w:pPr>
        <w:spacing w:after="120" w:before="80" w:line="320"/>
      </w:pPr>
      <w:r>
        <w:rPr>
          <w:rFonts w:ascii="Arial" w:cs="Arial" w:eastAsia="Arial" w:hAnsi="Arial"/>
          <w:color w:val="222222"/>
          <w:sz w:val="22"/>
          <w:szCs w:val="22"/>
        </w:rPr>
        <w:t xml:space="preserve">This finding points to a common failure point in campaign execution: clicks arrive, but the post-click experience, including the landing page, the offer, and the checkout flow, does not complete the conversion. Driving more traffic to a poorly optimized destination is unlikely to resolve this gap.</w:t>
      </w:r>
    </w:p>
    <w:p>
      <w:pPr>
        <w:spacing w:after="80" w:before="0"/>
      </w:pPr>
      <w:r>
        <w:t xml:space="preserve"/>
      </w:r>
    </w:p>
    <w:p>
      <w:pPr>
        <w:pStyle w:val="Heading2"/>
        <w:pBdr>
          <w:bottom w:val="single" w:color="AAAAAA" w:sz="4" w:space="4"/>
        </w:pBdr>
        <w:spacing w:after="100" w:before="280"/>
      </w:pPr>
      <w:r>
        <w:rPr>
          <w:rFonts w:ascii="Georgia" w:cs="Georgia" w:eastAsia="Georgia" w:hAnsi="Georgia"/>
          <w:b/>
          <w:bCs/>
          <w:color w:val="222222"/>
          <w:sz w:val="28"/>
          <w:szCs w:val="28"/>
        </w:rPr>
        <w:t xml:space="preserve">ROI Operates Independently</w:t>
      </w:r>
    </w:p>
    <w:p>
      <w:pPr>
        <w:spacing w:after="120" w:before="80" w:line="320"/>
      </w:pPr>
      <w:r>
        <w:rPr>
          <w:rFonts w:ascii="Arial" w:cs="Arial" w:eastAsia="Arial" w:hAnsi="Arial"/>
          <w:color w:val="222222"/>
          <w:sz w:val="22"/>
          <w:szCs w:val="22"/>
        </w:rPr>
        <w:t xml:space="preserve">ROI shows near-zero correlation with every other metric in the dataset. This suggests that profitability is shaped by variables not captured in standard traffic and engagement KPIs, likely factors such as revenue per conversion, customer lifetime value, product margin, and fixed operational costs. Single-metric optimization is unlikely to reliably drive ROI improvement without also addressing these underlying revenue dynamics.</w:t>
      </w:r>
    </w:p>
    <w:p>
      <w:pPr>
        <w:spacing w:after="160" w:before="0"/>
      </w:pPr>
      <w:r>
        <w:t xml:space="preserve"/>
      </w:r>
    </w:p>
    <w:p>
      <w:pPr>
        <w:pStyle w:val="Heading1"/>
        <w:spacing w:after="120" w:before="360"/>
      </w:pPr>
      <w:r>
        <w:rPr>
          <w:rFonts w:ascii="Georgia" w:cs="Georgia" w:eastAsia="Georgia" w:hAnsi="Georgia"/>
          <w:b/>
          <w:bCs/>
          <w:color w:val="222222"/>
          <w:sz w:val="36"/>
          <w:szCs w:val="36"/>
        </w:rPr>
        <w:t xml:space="preserve">Section 4: Strategic Framework for Campaign Optimization</w:t>
      </w:r>
    </w:p>
    <w:p>
      <w:pPr>
        <w:spacing w:after="120" w:before="80" w:line="320"/>
      </w:pPr>
      <w:r>
        <w:rPr>
          <w:rFonts w:ascii="Arial" w:cs="Arial" w:eastAsia="Arial" w:hAnsi="Arial"/>
          <w:color w:val="222222"/>
          <w:sz w:val="22"/>
          <w:szCs w:val="22"/>
        </w:rPr>
        <w:t xml:space="preserve">The evidence supports a structured, sequential optimization approach that prioritizes controllable upstream variables before attempting to improve noisier downstream outcomes. The following four priorities are organized from most to least directly controllable.</w:t>
      </w:r>
    </w:p>
    <w:p>
      <w:pPr>
        <w:spacing w:after="80" w:before="0"/>
      </w:pPr>
      <w:r>
        <w:t xml:space="preserve"/>
      </w:r>
    </w:p>
    <w:p>
      <w:pPr>
        <w:pStyle w:val="Heading2"/>
        <w:pBdr>
          <w:bottom w:val="single" w:color="AAAAAA" w:sz="4" w:space="4"/>
        </w:pBdr>
        <w:spacing w:after="100" w:before="280"/>
      </w:pPr>
      <w:r>
        <w:rPr>
          <w:rFonts w:ascii="Georgia" w:cs="Georgia" w:eastAsia="Georgia" w:hAnsi="Georgia"/>
          <w:b/>
          <w:bCs/>
          <w:color w:val="222222"/>
          <w:sz w:val="28"/>
          <w:szCs w:val="28"/>
        </w:rPr>
        <w:t xml:space="preserve">Priority 1: Improve Click Efficiency Per Impression</w:t>
      </w:r>
    </w:p>
    <w:p>
      <w:pPr>
        <w:spacing w:after="120" w:before="80" w:line="320"/>
      </w:pPr>
      <w:r>
        <w:rPr>
          <w:rFonts w:ascii="Arial" w:cs="Arial" w:eastAsia="Arial" w:hAnsi="Arial"/>
          <w:color w:val="222222"/>
          <w:sz w:val="22"/>
          <w:szCs w:val="22"/>
        </w:rPr>
        <w:t xml:space="preserve">The Impressions to Clicks relationship (r = 0.726) is the most controllable strong correlation in the funnel. Practical levers include:</w:t>
      </w:r>
    </w:p>
    <w:p>
      <w:pPr>
        <w:pStyle w:val="ListParagraph"/>
        <w:numPr>
          <w:ilvl w:val="0"/>
          <w:numId w:val="2"/>
        </w:numPr>
        <w:spacing w:after="60" w:before="60" w:line="300"/>
      </w:pPr>
      <w:r>
        <w:rPr>
          <w:rFonts w:ascii="Arial" w:cs="Arial" w:eastAsia="Arial" w:hAnsi="Arial"/>
          <w:b w:val="false"/>
          <w:bCs w:val="false"/>
          <w:color w:val="222222"/>
          <w:sz w:val="22"/>
          <w:szCs w:val="22"/>
        </w:rPr>
        <w:t xml:space="preserve">Improving ad creative relevance and visual quality</w:t>
      </w:r>
    </w:p>
    <w:p>
      <w:pPr>
        <w:pStyle w:val="ListParagraph"/>
        <w:numPr>
          <w:ilvl w:val="0"/>
          <w:numId w:val="2"/>
        </w:numPr>
        <w:spacing w:after="60" w:before="60" w:line="300"/>
      </w:pPr>
      <w:r>
        <w:rPr>
          <w:rFonts w:ascii="Arial" w:cs="Arial" w:eastAsia="Arial" w:hAnsi="Arial"/>
          <w:b w:val="false"/>
          <w:bCs w:val="false"/>
          <w:color w:val="222222"/>
          <w:sz w:val="22"/>
          <w:szCs w:val="22"/>
        </w:rPr>
        <w:t xml:space="preserve">Refining audience targeting and segmentation</w:t>
      </w:r>
    </w:p>
    <w:p>
      <w:pPr>
        <w:pStyle w:val="ListParagraph"/>
        <w:numPr>
          <w:ilvl w:val="0"/>
          <w:numId w:val="2"/>
        </w:numPr>
        <w:spacing w:after="60" w:before="60" w:line="300"/>
      </w:pPr>
      <w:r>
        <w:rPr>
          <w:rFonts w:ascii="Arial" w:cs="Arial" w:eastAsia="Arial" w:hAnsi="Arial"/>
          <w:b w:val="false"/>
          <w:bCs w:val="false"/>
          <w:color w:val="222222"/>
          <w:sz w:val="22"/>
          <w:szCs w:val="22"/>
        </w:rPr>
        <w:t xml:space="preserve">Testing messaging variations systematically through A/B testing</w:t>
      </w:r>
    </w:p>
    <w:p>
      <w:pPr>
        <w:pStyle w:val="ListParagraph"/>
        <w:numPr>
          <w:ilvl w:val="0"/>
          <w:numId w:val="2"/>
        </w:numPr>
        <w:spacing w:after="60" w:before="60" w:line="300"/>
      </w:pPr>
      <w:r>
        <w:rPr>
          <w:rFonts w:ascii="Arial" w:cs="Arial" w:eastAsia="Arial" w:hAnsi="Arial"/>
          <w:b w:val="false"/>
          <w:bCs w:val="false"/>
          <w:color w:val="222222"/>
          <w:sz w:val="22"/>
          <w:szCs w:val="22"/>
        </w:rPr>
        <w:t xml:space="preserve">Optimizing ad placement and channel mix</w:t>
      </w:r>
    </w:p>
    <w:p>
      <w:pPr>
        <w:spacing w:after="60" w:before="0"/>
      </w:pPr>
      <w:r>
        <w:t xml:space="preserve"/>
      </w:r>
    </w:p>
    <w:p>
      <w:pPr>
        <w:spacing w:after="120" w:before="80" w:line="320"/>
      </w:pPr>
      <w:r>
        <w:rPr>
          <w:rFonts w:ascii="Arial" w:cs="Arial" w:eastAsia="Arial" w:hAnsi="Arial"/>
          <w:color w:val="222222"/>
          <w:sz w:val="22"/>
          <w:szCs w:val="22"/>
        </w:rPr>
        <w:t xml:space="preserve">These interventions are measurable, reversible, and directly tied to a statistically robust outcome. They represent the highest-confidence area for performance improvement.</w:t>
      </w:r>
    </w:p>
    <w:p>
      <w:pPr>
        <w:spacing w:after="80" w:before="0"/>
      </w:pPr>
      <w:r>
        <w:t xml:space="preserve"/>
      </w:r>
    </w:p>
    <w:p>
      <w:pPr>
        <w:pStyle w:val="Heading2"/>
        <w:pBdr>
          <w:bottom w:val="single" w:color="AAAAAA" w:sz="4" w:space="4"/>
        </w:pBdr>
        <w:spacing w:after="100" w:before="280"/>
      </w:pPr>
      <w:r>
        <w:rPr>
          <w:rFonts w:ascii="Georgia" w:cs="Georgia" w:eastAsia="Georgia" w:hAnsi="Georgia"/>
          <w:b/>
          <w:bCs/>
          <w:color w:val="222222"/>
          <w:sz w:val="28"/>
          <w:szCs w:val="28"/>
        </w:rPr>
        <w:t xml:space="preserve">Priority 2: Improve Post-Click Quality</w:t>
      </w:r>
    </w:p>
    <w:p>
      <w:pPr>
        <w:spacing w:after="120" w:before="80" w:line="320"/>
      </w:pPr>
      <w:r>
        <w:rPr>
          <w:rFonts w:ascii="Arial" w:cs="Arial" w:eastAsia="Arial" w:hAnsi="Arial"/>
          <w:color w:val="222222"/>
          <w:sz w:val="22"/>
          <w:szCs w:val="22"/>
        </w:rPr>
        <w:t xml:space="preserve">Given the disconnect between CTR and conversion rate (r = 0.005), generating clicks is necessary but not sufficient. Organizations should evaluate:</w:t>
      </w:r>
    </w:p>
    <w:p>
      <w:pPr>
        <w:pStyle w:val="ListParagraph"/>
        <w:numPr>
          <w:ilvl w:val="0"/>
          <w:numId w:val="2"/>
        </w:numPr>
        <w:spacing w:after="60" w:before="60" w:line="300"/>
      </w:pPr>
      <w:r>
        <w:rPr>
          <w:rFonts w:ascii="Arial" w:cs="Arial" w:eastAsia="Arial" w:hAnsi="Arial"/>
          <w:b w:val="false"/>
          <w:bCs w:val="false"/>
          <w:color w:val="222222"/>
          <w:sz w:val="22"/>
          <w:szCs w:val="22"/>
        </w:rPr>
        <w:t xml:space="preserve">Landing page relevance and load performance</w:t>
      </w:r>
    </w:p>
    <w:p>
      <w:pPr>
        <w:pStyle w:val="ListParagraph"/>
        <w:numPr>
          <w:ilvl w:val="0"/>
          <w:numId w:val="2"/>
        </w:numPr>
        <w:spacing w:after="60" w:before="60" w:line="300"/>
      </w:pPr>
      <w:r>
        <w:rPr>
          <w:rFonts w:ascii="Arial" w:cs="Arial" w:eastAsia="Arial" w:hAnsi="Arial"/>
          <w:b w:val="false"/>
          <w:bCs w:val="false"/>
          <w:color w:val="222222"/>
          <w:sz w:val="22"/>
          <w:szCs w:val="22"/>
        </w:rPr>
        <w:t xml:space="preserve">Offer clarity and value alignment with the target audience</w:t>
      </w:r>
    </w:p>
    <w:p>
      <w:pPr>
        <w:pStyle w:val="ListParagraph"/>
        <w:numPr>
          <w:ilvl w:val="0"/>
          <w:numId w:val="2"/>
        </w:numPr>
        <w:spacing w:after="60" w:before="60" w:line="300"/>
      </w:pPr>
      <w:r>
        <w:rPr>
          <w:rFonts w:ascii="Arial" w:cs="Arial" w:eastAsia="Arial" w:hAnsi="Arial"/>
          <w:b w:val="false"/>
          <w:bCs w:val="false"/>
          <w:color w:val="222222"/>
          <w:sz w:val="22"/>
          <w:szCs w:val="22"/>
        </w:rPr>
        <w:t xml:space="preserve">Checkout or form friction reduction</w:t>
      </w:r>
    </w:p>
    <w:p>
      <w:pPr>
        <w:pStyle w:val="ListParagraph"/>
        <w:numPr>
          <w:ilvl w:val="0"/>
          <w:numId w:val="2"/>
        </w:numPr>
        <w:spacing w:after="60" w:before="60" w:line="300"/>
      </w:pPr>
      <w:r>
        <w:rPr>
          <w:rFonts w:ascii="Arial" w:cs="Arial" w:eastAsia="Arial" w:hAnsi="Arial"/>
          <w:b w:val="false"/>
          <w:bCs w:val="false"/>
          <w:color w:val="222222"/>
          <w:sz w:val="22"/>
          <w:szCs w:val="22"/>
        </w:rPr>
        <w:t xml:space="preserve">Trust signals such as reviews, security indicators, and brand credibility</w:t>
      </w:r>
    </w:p>
    <w:p>
      <w:pPr>
        <w:spacing w:after="60" w:before="0"/>
      </w:pPr>
      <w:r>
        <w:t xml:space="preserve"/>
      </w:r>
    </w:p>
    <w:p>
      <w:pPr>
        <w:spacing w:after="120" w:before="80" w:line="320"/>
      </w:pPr>
      <w:r>
        <w:rPr>
          <w:rFonts w:ascii="Arial" w:cs="Arial" w:eastAsia="Arial" w:hAnsi="Arial"/>
          <w:color w:val="222222"/>
          <w:sz w:val="22"/>
          <w:szCs w:val="22"/>
        </w:rPr>
        <w:t xml:space="preserve">Improving post-click quality strengthens the Clicks to Conversions relationship and makes the overall funnel more efficient without requiring additional ad spend.</w:t>
      </w:r>
    </w:p>
    <w:p>
      <w:pPr>
        <w:spacing w:after="80" w:before="0"/>
      </w:pPr>
      <w:r>
        <w:t xml:space="preserve"/>
      </w:r>
    </w:p>
    <w:p>
      <w:pPr>
        <w:pStyle w:val="Heading2"/>
        <w:pBdr>
          <w:bottom w:val="single" w:color="AAAAAA" w:sz="4" w:space="4"/>
        </w:pBdr>
        <w:spacing w:after="100" w:before="280"/>
      </w:pPr>
      <w:r>
        <w:rPr>
          <w:rFonts w:ascii="Georgia" w:cs="Georgia" w:eastAsia="Georgia" w:hAnsi="Georgia"/>
          <w:b/>
          <w:bCs/>
          <w:color w:val="222222"/>
          <w:sz w:val="28"/>
          <w:szCs w:val="28"/>
        </w:rPr>
        <w:t xml:space="preserve">Priority 3: Evaluate Channels Individually</w:t>
      </w:r>
    </w:p>
    <w:p>
      <w:pPr>
        <w:spacing w:after="120" w:before="80" w:line="320"/>
      </w:pPr>
      <w:r>
        <w:rPr>
          <w:rFonts w:ascii="Arial" w:cs="Arial" w:eastAsia="Arial" w:hAnsi="Arial"/>
          <w:color w:val="222222"/>
          <w:sz w:val="22"/>
          <w:szCs w:val="22"/>
        </w:rPr>
        <w:t xml:space="preserve">The near-zero budget-to-performance correlations observed at the aggregate level may mask meaningful variation at the channel level. Different channels likely exhibit distinct correlation structures. Some may show strong budget-to-impression relationships; others may not. Channel-level analysis is needed to make targeted allocation decisions rather than applying aggregate-level conclusions uniformly.</w:t>
      </w:r>
    </w:p>
    <w:p>
      <w:pPr>
        <w:spacing w:after="80" w:before="0"/>
      </w:pPr>
      <w:r>
        <w:t xml:space="preserve"/>
      </w:r>
    </w:p>
    <w:p>
      <w:pPr>
        <w:pStyle w:val="Heading2"/>
        <w:pBdr>
          <w:bottom w:val="single" w:color="AAAAAA" w:sz="4" w:space="4"/>
        </w:pBdr>
        <w:spacing w:after="100" w:before="280"/>
      </w:pPr>
      <w:r>
        <w:rPr>
          <w:rFonts w:ascii="Georgia" w:cs="Georgia" w:eastAsia="Georgia" w:hAnsi="Georgia"/>
          <w:b/>
          <w:bCs/>
          <w:color w:val="222222"/>
          <w:sz w:val="28"/>
          <w:szCs w:val="28"/>
        </w:rPr>
        <w:t xml:space="preserve">Priority 4: Reframe ROI Analysis</w:t>
      </w:r>
    </w:p>
    <w:p>
      <w:pPr>
        <w:spacing w:after="120" w:before="80" w:line="320"/>
      </w:pPr>
      <w:r>
        <w:rPr>
          <w:rFonts w:ascii="Arial" w:cs="Arial" w:eastAsia="Arial" w:hAnsi="Arial"/>
          <w:color w:val="222222"/>
          <w:sz w:val="22"/>
          <w:szCs w:val="22"/>
        </w:rPr>
        <w:t xml:space="preserve">Since ROI does not correlate linearly with traffic or engagement metrics, improving profitability requires incorporating variables beyond standard campaign KPIs. Future optimization should account for:</w:t>
      </w:r>
    </w:p>
    <w:p>
      <w:pPr>
        <w:pStyle w:val="ListParagraph"/>
        <w:numPr>
          <w:ilvl w:val="0"/>
          <w:numId w:val="2"/>
        </w:numPr>
        <w:spacing w:after="60" w:before="60" w:line="300"/>
      </w:pPr>
      <w:r>
        <w:rPr>
          <w:rFonts w:ascii="Arial" w:cs="Arial" w:eastAsia="Arial" w:hAnsi="Arial"/>
          <w:b w:val="false"/>
          <w:bCs w:val="false"/>
          <w:color w:val="222222"/>
          <w:sz w:val="22"/>
          <w:szCs w:val="22"/>
        </w:rPr>
        <w:t xml:space="preserve">Revenue per conversion, not just conversion volume</w:t>
      </w:r>
    </w:p>
    <w:p>
      <w:pPr>
        <w:pStyle w:val="ListParagraph"/>
        <w:numPr>
          <w:ilvl w:val="0"/>
          <w:numId w:val="2"/>
        </w:numPr>
        <w:spacing w:after="60" w:before="60" w:line="300"/>
      </w:pPr>
      <w:r>
        <w:rPr>
          <w:rFonts w:ascii="Arial" w:cs="Arial" w:eastAsia="Arial" w:hAnsi="Arial"/>
          <w:b w:val="false"/>
          <w:bCs w:val="false"/>
          <w:color w:val="222222"/>
          <w:sz w:val="22"/>
          <w:szCs w:val="22"/>
        </w:rPr>
        <w:t xml:space="preserve">Customer lifetime value segmented by channel and audience</w:t>
      </w:r>
    </w:p>
    <w:p>
      <w:pPr>
        <w:pStyle w:val="ListParagraph"/>
        <w:numPr>
          <w:ilvl w:val="0"/>
          <w:numId w:val="2"/>
        </w:numPr>
        <w:spacing w:after="60" w:before="60" w:line="300"/>
      </w:pPr>
      <w:r>
        <w:rPr>
          <w:rFonts w:ascii="Arial" w:cs="Arial" w:eastAsia="Arial" w:hAnsi="Arial"/>
          <w:b w:val="false"/>
          <w:bCs w:val="false"/>
          <w:color w:val="222222"/>
          <w:sz w:val="22"/>
          <w:szCs w:val="22"/>
        </w:rPr>
        <w:t xml:space="preserve">Fixed cost structures and their interaction with variable ad spend</w:t>
      </w:r>
    </w:p>
    <w:p>
      <w:pPr>
        <w:pStyle w:val="ListParagraph"/>
        <w:numPr>
          <w:ilvl w:val="0"/>
          <w:numId w:val="2"/>
        </w:numPr>
        <w:spacing w:after="60" w:before="60" w:line="300"/>
      </w:pPr>
      <w:r>
        <w:rPr>
          <w:rFonts w:ascii="Arial" w:cs="Arial" w:eastAsia="Arial" w:hAnsi="Arial"/>
          <w:b w:val="false"/>
          <w:bCs w:val="false"/>
          <w:color w:val="222222"/>
          <w:sz w:val="22"/>
          <w:szCs w:val="22"/>
        </w:rPr>
        <w:t xml:space="preserve">Contribution margin at the campaign level</w:t>
      </w:r>
    </w:p>
    <w:p>
      <w:pPr>
        <w:spacing w:after="60" w:before="0"/>
      </w:pPr>
      <w:r>
        <w:t xml:space="preserve"/>
      </w:r>
    </w:p>
    <w:p>
      <w:pPr>
        <w:spacing w:after="120" w:before="80" w:line="320"/>
      </w:pPr>
      <w:r>
        <w:rPr>
          <w:rFonts w:ascii="Arial" w:cs="Arial" w:eastAsia="Arial" w:hAnsi="Arial"/>
          <w:color w:val="222222"/>
          <w:sz w:val="22"/>
          <w:szCs w:val="22"/>
        </w:rPr>
        <w:t xml:space="preserve">Without these inputs, it is possible to optimize all visible metrics while still underperforming on profitability.</w:t>
      </w:r>
    </w:p>
    <w:p>
      <w:pPr>
        <w:spacing w:after="160" w:before="0"/>
      </w:pPr>
      <w:r>
        <w:t xml:space="preserve"/>
      </w:r>
    </w:p>
    <w:p>
      <w:pPr>
        <w:pStyle w:val="Heading1"/>
        <w:spacing w:after="120" w:before="360"/>
      </w:pPr>
      <w:r>
        <w:rPr>
          <w:rFonts w:ascii="Georgia" w:cs="Georgia" w:eastAsia="Georgia" w:hAnsi="Georgia"/>
          <w:b/>
          <w:bCs/>
          <w:color w:val="222222"/>
          <w:sz w:val="36"/>
          <w:szCs w:val="36"/>
        </w:rPr>
        <w:t xml:space="preserve">Section 5: Decision-Maker Reference</w:t>
      </w:r>
    </w:p>
    <w:p>
      <w:pPr>
        <w:spacing w:after="120" w:before="80" w:line="320"/>
      </w:pPr>
      <w:r>
        <w:rPr>
          <w:rFonts w:ascii="Arial" w:cs="Arial" w:eastAsia="Arial" w:hAnsi="Arial"/>
          <w:color w:val="222222"/>
          <w:sz w:val="22"/>
          <w:szCs w:val="22"/>
        </w:rPr>
        <w:t xml:space="preserve">The following table consolidates the key findings into actionable decisions, organized by finding severity and strategic impact.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460"/>
      </w:tblGrid>
      <w:tr>
        <w:tc>
          <w:tcPr>
            <w:tcW w:type="dxa" w:w="2800"/>
            <w:tcBorders>
              <w:top w:val="single" w:color="AAAAAA" w:sz="1"/>
              <w:left w:val="single" w:color="AAAAAA" w:sz="1"/>
              <w:bottom w:val="single" w:color="AAAAAA" w:sz="1"/>
              <w:right w:val="single" w:color="AAAAAA" w:sz="1"/>
            </w:tcBorders>
            <w:shd w:fill="E8E8E8" w:val="clear"/>
            <w:tcMar>
              <w:top w:type="dxa" w:w="100"/>
              <w:left w:type="dxa" w:w="140"/>
              <w:bottom w:type="dxa" w:w="100"/>
              <w:right w:type="dxa" w:w="140"/>
            </w:tcMar>
          </w:tcPr>
          <w:p>
            <w:r>
              <w:rPr>
                <w:rFonts w:ascii="Arial" w:cs="Arial" w:eastAsia="Arial" w:hAnsi="Arial"/>
                <w:b/>
                <w:bCs/>
                <w:color w:val="222222"/>
                <w:sz w:val="20"/>
                <w:szCs w:val="20"/>
              </w:rPr>
              <w:t xml:space="preserve">Finding</w:t>
            </w:r>
          </w:p>
        </w:tc>
        <w:tc>
          <w:tcPr>
            <w:tcW w:type="dxa" w:w="3100"/>
            <w:tcBorders>
              <w:top w:val="single" w:color="AAAAAA" w:sz="1"/>
              <w:left w:val="single" w:color="AAAAAA" w:sz="1"/>
              <w:bottom w:val="single" w:color="AAAAAA" w:sz="1"/>
              <w:right w:val="single" w:color="AAAAAA" w:sz="1"/>
            </w:tcBorders>
            <w:shd w:fill="E8E8E8" w:val="clear"/>
            <w:tcMar>
              <w:top w:type="dxa" w:w="100"/>
              <w:left w:type="dxa" w:w="140"/>
              <w:bottom w:type="dxa" w:w="100"/>
              <w:right w:type="dxa" w:w="140"/>
            </w:tcMar>
          </w:tcPr>
          <w:p>
            <w:r>
              <w:rPr>
                <w:rFonts w:ascii="Arial" w:cs="Arial" w:eastAsia="Arial" w:hAnsi="Arial"/>
                <w:b/>
                <w:bCs/>
                <w:color w:val="222222"/>
                <w:sz w:val="20"/>
                <w:szCs w:val="20"/>
              </w:rPr>
              <w:t xml:space="preserve">Implication</w:t>
            </w:r>
          </w:p>
        </w:tc>
        <w:tc>
          <w:tcPr>
            <w:tcW w:type="dxa" w:w="3460"/>
            <w:tcBorders>
              <w:top w:val="single" w:color="AAAAAA" w:sz="1"/>
              <w:left w:val="single" w:color="AAAAAA" w:sz="1"/>
              <w:bottom w:val="single" w:color="AAAAAA" w:sz="1"/>
              <w:right w:val="single" w:color="AAAAAA" w:sz="1"/>
            </w:tcBorders>
            <w:shd w:fill="E8E8E8" w:val="clear"/>
            <w:tcMar>
              <w:top w:type="dxa" w:w="100"/>
              <w:left w:type="dxa" w:w="140"/>
              <w:bottom w:type="dxa" w:w="100"/>
              <w:right w:type="dxa" w:w="140"/>
            </w:tcMar>
          </w:tcPr>
          <w:p>
            <w:r>
              <w:rPr>
                <w:rFonts w:ascii="Arial" w:cs="Arial" w:eastAsia="Arial" w:hAnsi="Arial"/>
                <w:b/>
                <w:bCs/>
                <w:color w:val="222222"/>
                <w:sz w:val="20"/>
                <w:szCs w:val="20"/>
              </w:rPr>
              <w:t xml:space="preserve">Recommended Action</w:t>
            </w:r>
          </w:p>
        </w:tc>
      </w:tr>
      <w:tr>
        <w:tc>
          <w:tcPr>
            <w:tcW w:type="dxa" w:w="2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Clicks and Conversions: r = 0.766</w:t>
            </w:r>
          </w:p>
        </w:tc>
        <w:tc>
          <w:tcPr>
            <w:tcW w:type="dxa" w:w="31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Clicks are the primary conversion driver</w:t>
            </w:r>
          </w:p>
        </w:tc>
        <w:tc>
          <w:tcPr>
            <w:tcW w:type="dxa" w:w="34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Prioritize click quality over impression volume</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222222"/>
                <w:sz w:val="20"/>
                <w:szCs w:val="20"/>
              </w:rPr>
              <w:t xml:space="preserve">Impressions and Clicks: r = 0.726</w:t>
            </w:r>
          </w:p>
        </w:tc>
        <w:tc>
          <w:tcPr>
            <w:tcW w:type="dxa" w:w="31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222222"/>
                <w:sz w:val="20"/>
                <w:szCs w:val="20"/>
              </w:rPr>
              <w:t xml:space="preserve">Exposure reliably generates engagement</w:t>
            </w:r>
          </w:p>
        </w:tc>
        <w:tc>
          <w:tcPr>
            <w:tcW w:type="dxa" w:w="34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222222"/>
                <w:sz w:val="20"/>
                <w:szCs w:val="20"/>
              </w:rPr>
              <w:t xml:space="preserve">Optimize creative and targeting to improve click yield</w:t>
            </w:r>
          </w:p>
        </w:tc>
      </w:tr>
      <w:tr>
        <w:tc>
          <w:tcPr>
            <w:tcW w:type="dxa" w:w="2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Budget correlated at approximately 0.000</w:t>
            </w:r>
          </w:p>
        </w:tc>
        <w:tc>
          <w:tcPr>
            <w:tcW w:type="dxa" w:w="31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Spend level does not predict outcomes</w:t>
            </w:r>
          </w:p>
        </w:tc>
        <w:tc>
          <w:tcPr>
            <w:tcW w:type="dxa" w:w="34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Reallocate budget based on channel ROI, not spend size</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222222"/>
                <w:sz w:val="20"/>
                <w:szCs w:val="20"/>
              </w:rPr>
              <w:t xml:space="preserve">CTR and Conversion Rate: r = 0.005</w:t>
            </w:r>
          </w:p>
        </w:tc>
        <w:tc>
          <w:tcPr>
            <w:tcW w:type="dxa" w:w="31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222222"/>
                <w:sz w:val="20"/>
                <w:szCs w:val="20"/>
              </w:rPr>
              <w:t xml:space="preserve">Engagement does not guarantee conversions</w:t>
            </w:r>
          </w:p>
        </w:tc>
        <w:tc>
          <w:tcPr>
            <w:tcW w:type="dxa" w:w="34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222222"/>
                <w:sz w:val="20"/>
                <w:szCs w:val="20"/>
              </w:rPr>
              <w:t xml:space="preserve">Invest in post-click experience and landing page optimization</w:t>
            </w:r>
          </w:p>
        </w:tc>
      </w:tr>
      <w:tr>
        <w:tc>
          <w:tcPr>
            <w:tcW w:type="dxa" w:w="2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CPC and ROI: r = -0.003</w:t>
            </w:r>
          </w:p>
        </w:tc>
        <w:tc>
          <w:tcPr>
            <w:tcW w:type="dxa" w:w="31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Cost per click is not a profitability signal</w:t>
            </w:r>
          </w:p>
        </w:tc>
        <w:tc>
          <w:tcPr>
            <w:tcW w:type="dxa" w:w="34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Evaluate ROI per channel, not CPC alone</w:t>
            </w:r>
          </w:p>
        </w:tc>
      </w:tr>
      <w:tr>
        <w:tc>
          <w:tcPr>
            <w:tcW w:type="dxa" w:w="2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222222"/>
                <w:sz w:val="20"/>
                <w:szCs w:val="20"/>
              </w:rPr>
              <w:t xml:space="preserve">Conversion Rate and ROI: r = 0.000</w:t>
            </w:r>
          </w:p>
        </w:tc>
        <w:tc>
          <w:tcPr>
            <w:tcW w:type="dxa" w:w="31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222222"/>
                <w:sz w:val="20"/>
                <w:szCs w:val="20"/>
              </w:rPr>
              <w:t xml:space="preserve">High conversion rate does not mean high profit</w:t>
            </w:r>
          </w:p>
        </w:tc>
        <w:tc>
          <w:tcPr>
            <w:tcW w:type="dxa" w:w="34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222222"/>
                <w:sz w:val="20"/>
                <w:szCs w:val="20"/>
              </w:rPr>
              <w:t xml:space="preserve">Incorporate revenue per conversion into performance modeling</w:t>
            </w:r>
          </w:p>
        </w:tc>
      </w:tr>
      <w:tr>
        <w:tc>
          <w:tcPr>
            <w:tcW w:type="dxa" w:w="2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Impressions and Conversions: r = 0.556</w:t>
            </w:r>
          </w:p>
        </w:tc>
        <w:tc>
          <w:tcPr>
            <w:tcW w:type="dxa" w:w="31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Weak direct path due to intermediate variables</w:t>
            </w:r>
          </w:p>
        </w:tc>
        <w:tc>
          <w:tcPr>
            <w:tcW w:type="dxa" w:w="34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Use clicks as the primary optimization target</w:t>
            </w:r>
          </w:p>
        </w:tc>
      </w:tr>
    </w:tbl>
    <w:p>
      <w:pPr>
        <w:spacing w:after="160" w:before="0"/>
      </w:pPr>
      <w:r>
        <w:t xml:space="preserve"/>
      </w:r>
    </w:p>
    <w:p>
      <w:pPr>
        <w:pStyle w:val="Heading1"/>
        <w:spacing w:after="120" w:before="360"/>
      </w:pPr>
      <w:r>
        <w:rPr>
          <w:rFonts w:ascii="Georgia" w:cs="Georgia" w:eastAsia="Georgia" w:hAnsi="Georgia"/>
          <w:b/>
          <w:bCs/>
          <w:color w:val="222222"/>
          <w:sz w:val="36"/>
          <w:szCs w:val="36"/>
        </w:rPr>
        <w:t xml:space="preserve">Section 6: What to Measure Going Forward</w:t>
      </w:r>
    </w:p>
    <w:p>
      <w:pPr>
        <w:spacing w:after="120" w:before="80" w:line="320"/>
      </w:pPr>
      <w:r>
        <w:rPr>
          <w:rFonts w:ascii="Arial" w:cs="Arial" w:eastAsia="Arial" w:hAnsi="Arial"/>
          <w:color w:val="222222"/>
          <w:sz w:val="22"/>
          <w:szCs w:val="22"/>
        </w:rPr>
        <w:t xml:space="preserve">To build on the findings of this analysis, organizations should consider expanding their measurement framework to include the following categories.</w:t>
      </w:r>
    </w:p>
    <w:p>
      <w:pPr>
        <w:spacing w:after="80" w:before="0"/>
      </w:pPr>
      <w:r>
        <w:t xml:space="preserve"/>
      </w:r>
    </w:p>
    <w:p>
      <w:pPr>
        <w:pStyle w:val="Heading2"/>
        <w:pBdr>
          <w:bottom w:val="single" w:color="AAAAAA" w:sz="4" w:space="4"/>
        </w:pBdr>
        <w:spacing w:after="100" w:before="280"/>
      </w:pPr>
      <w:r>
        <w:rPr>
          <w:rFonts w:ascii="Georgia" w:cs="Georgia" w:eastAsia="Georgia" w:hAnsi="Georgia"/>
          <w:b/>
          <w:bCs/>
          <w:color w:val="222222"/>
          <w:sz w:val="28"/>
          <w:szCs w:val="28"/>
        </w:rPr>
        <w:t xml:space="preserve">Revenue and Profitability Metrics</w:t>
      </w:r>
    </w:p>
    <w:p>
      <w:pPr>
        <w:pStyle w:val="ListParagraph"/>
        <w:numPr>
          <w:ilvl w:val="0"/>
          <w:numId w:val="2"/>
        </w:numPr>
        <w:spacing w:after="60" w:before="60" w:line="300"/>
      </w:pPr>
      <w:r>
        <w:rPr>
          <w:rFonts w:ascii="Arial" w:cs="Arial" w:eastAsia="Arial" w:hAnsi="Arial"/>
          <w:b w:val="false"/>
          <w:bCs w:val="false"/>
          <w:color w:val="222222"/>
          <w:sz w:val="22"/>
          <w:szCs w:val="22"/>
        </w:rPr>
        <w:t xml:space="preserve">Revenue per conversion by channel</w:t>
      </w:r>
    </w:p>
    <w:p>
      <w:pPr>
        <w:pStyle w:val="ListParagraph"/>
        <w:numPr>
          <w:ilvl w:val="0"/>
          <w:numId w:val="2"/>
        </w:numPr>
        <w:spacing w:after="60" w:before="60" w:line="300"/>
      </w:pPr>
      <w:r>
        <w:rPr>
          <w:rFonts w:ascii="Arial" w:cs="Arial" w:eastAsia="Arial" w:hAnsi="Arial"/>
          <w:b w:val="false"/>
          <w:bCs w:val="false"/>
          <w:color w:val="222222"/>
          <w:sz w:val="22"/>
          <w:szCs w:val="22"/>
        </w:rPr>
        <w:t xml:space="preserve">Contribution margin per campaign</w:t>
      </w:r>
    </w:p>
    <w:p>
      <w:pPr>
        <w:pStyle w:val="ListParagraph"/>
        <w:numPr>
          <w:ilvl w:val="0"/>
          <w:numId w:val="2"/>
        </w:numPr>
        <w:spacing w:after="60" w:before="60" w:line="300"/>
      </w:pPr>
      <w:r>
        <w:rPr>
          <w:rFonts w:ascii="Arial" w:cs="Arial" w:eastAsia="Arial" w:hAnsi="Arial"/>
          <w:b w:val="false"/>
          <w:bCs w:val="false"/>
          <w:color w:val="222222"/>
          <w:sz w:val="22"/>
          <w:szCs w:val="22"/>
        </w:rPr>
        <w:t xml:space="preserve">Customer lifetime value segmented by acquisition source</w:t>
      </w:r>
    </w:p>
    <w:p>
      <w:pPr>
        <w:spacing w:after="80" w:before="0"/>
      </w:pPr>
      <w:r>
        <w:t xml:space="preserve"/>
      </w:r>
    </w:p>
    <w:p>
      <w:pPr>
        <w:pStyle w:val="Heading2"/>
        <w:pBdr>
          <w:bottom w:val="single" w:color="AAAAAA" w:sz="4" w:space="4"/>
        </w:pBdr>
        <w:spacing w:after="100" w:before="280"/>
      </w:pPr>
      <w:r>
        <w:rPr>
          <w:rFonts w:ascii="Georgia" w:cs="Georgia" w:eastAsia="Georgia" w:hAnsi="Georgia"/>
          <w:b/>
          <w:bCs/>
          <w:color w:val="222222"/>
          <w:sz w:val="28"/>
          <w:szCs w:val="28"/>
        </w:rPr>
        <w:t xml:space="preserve">Channel-Level Analysis</w:t>
      </w:r>
    </w:p>
    <w:p>
      <w:pPr>
        <w:pStyle w:val="ListParagraph"/>
        <w:numPr>
          <w:ilvl w:val="0"/>
          <w:numId w:val="2"/>
        </w:numPr>
        <w:spacing w:after="60" w:before="60" w:line="300"/>
      </w:pPr>
      <w:r>
        <w:rPr>
          <w:rFonts w:ascii="Arial" w:cs="Arial" w:eastAsia="Arial" w:hAnsi="Arial"/>
          <w:b w:val="false"/>
          <w:bCs w:val="false"/>
          <w:color w:val="222222"/>
          <w:sz w:val="22"/>
          <w:szCs w:val="22"/>
        </w:rPr>
        <w:t xml:space="preserve">Channel-specific correlation matrices</w:t>
      </w:r>
    </w:p>
    <w:p>
      <w:pPr>
        <w:pStyle w:val="ListParagraph"/>
        <w:numPr>
          <w:ilvl w:val="0"/>
          <w:numId w:val="2"/>
        </w:numPr>
        <w:spacing w:after="60" w:before="60" w:line="300"/>
      </w:pPr>
      <w:r>
        <w:rPr>
          <w:rFonts w:ascii="Arial" w:cs="Arial" w:eastAsia="Arial" w:hAnsi="Arial"/>
          <w:b w:val="false"/>
          <w:bCs w:val="false"/>
          <w:color w:val="222222"/>
          <w:sz w:val="22"/>
          <w:szCs w:val="22"/>
        </w:rPr>
        <w:t xml:space="preserve">Budget tier analysis to test for non-linear threshold effects</w:t>
      </w:r>
    </w:p>
    <w:p>
      <w:pPr>
        <w:pStyle w:val="ListParagraph"/>
        <w:numPr>
          <w:ilvl w:val="0"/>
          <w:numId w:val="2"/>
        </w:numPr>
        <w:spacing w:after="60" w:before="60" w:line="300"/>
      </w:pPr>
      <w:r>
        <w:rPr>
          <w:rFonts w:ascii="Arial" w:cs="Arial" w:eastAsia="Arial" w:hAnsi="Arial"/>
          <w:b w:val="false"/>
          <w:bCs w:val="false"/>
          <w:color w:val="222222"/>
          <w:sz w:val="22"/>
          <w:szCs w:val="22"/>
        </w:rPr>
        <w:t xml:space="preserve">Attribution modeling beyond last-click</w:t>
      </w:r>
    </w:p>
    <w:p>
      <w:pPr>
        <w:spacing w:after="80" w:before="0"/>
      </w:pPr>
      <w:r>
        <w:t xml:space="preserve"/>
      </w:r>
    </w:p>
    <w:p>
      <w:pPr>
        <w:pStyle w:val="Heading2"/>
        <w:pBdr>
          <w:bottom w:val="single" w:color="AAAAAA" w:sz="4" w:space="4"/>
        </w:pBdr>
        <w:spacing w:after="100" w:before="280"/>
      </w:pPr>
      <w:r>
        <w:rPr>
          <w:rFonts w:ascii="Georgia" w:cs="Georgia" w:eastAsia="Georgia" w:hAnsi="Georgia"/>
          <w:b/>
          <w:bCs/>
          <w:color w:val="222222"/>
          <w:sz w:val="28"/>
          <w:szCs w:val="28"/>
        </w:rPr>
        <w:t xml:space="preserve">Engagement Quality Indicators</w:t>
      </w:r>
    </w:p>
    <w:p>
      <w:pPr>
        <w:pStyle w:val="ListParagraph"/>
        <w:numPr>
          <w:ilvl w:val="0"/>
          <w:numId w:val="2"/>
        </w:numPr>
        <w:spacing w:after="60" w:before="60" w:line="300"/>
      </w:pPr>
      <w:r>
        <w:rPr>
          <w:rFonts w:ascii="Arial" w:cs="Arial" w:eastAsia="Arial" w:hAnsi="Arial"/>
          <w:b w:val="false"/>
          <w:bCs w:val="false"/>
          <w:color w:val="222222"/>
          <w:sz w:val="22"/>
          <w:szCs w:val="22"/>
        </w:rPr>
        <w:t xml:space="preserve">Bounce rate on post-click landing pages</w:t>
      </w:r>
    </w:p>
    <w:p>
      <w:pPr>
        <w:pStyle w:val="ListParagraph"/>
        <w:numPr>
          <w:ilvl w:val="0"/>
          <w:numId w:val="2"/>
        </w:numPr>
        <w:spacing w:after="60" w:before="60" w:line="300"/>
      </w:pPr>
      <w:r>
        <w:rPr>
          <w:rFonts w:ascii="Arial" w:cs="Arial" w:eastAsia="Arial" w:hAnsi="Arial"/>
          <w:b w:val="false"/>
          <w:bCs w:val="false"/>
          <w:color w:val="222222"/>
          <w:sz w:val="22"/>
          <w:szCs w:val="22"/>
        </w:rPr>
        <w:t xml:space="preserve">Time on site and scroll depth for traffic from each channel</w:t>
      </w:r>
    </w:p>
    <w:p>
      <w:pPr>
        <w:pStyle w:val="ListParagraph"/>
        <w:numPr>
          <w:ilvl w:val="0"/>
          <w:numId w:val="2"/>
        </w:numPr>
        <w:spacing w:after="60" w:before="60" w:line="300"/>
      </w:pPr>
      <w:r>
        <w:rPr>
          <w:rFonts w:ascii="Arial" w:cs="Arial" w:eastAsia="Arial" w:hAnsi="Arial"/>
          <w:b w:val="false"/>
          <w:bCs w:val="false"/>
          <w:color w:val="222222"/>
          <w:sz w:val="22"/>
          <w:szCs w:val="22"/>
        </w:rPr>
        <w:t xml:space="preserve">A composite quality score combining CTR, conversion rate, and CPC</w:t>
      </w:r>
    </w:p>
    <w:p>
      <w:pPr>
        <w:spacing w:after="60" w:before="0"/>
      </w:pPr>
      <w:r>
        <w:t xml:space="preserve"/>
      </w:r>
    </w:p>
    <w:p>
      <w:pPr>
        <w:spacing w:after="120" w:before="80" w:line="320"/>
      </w:pPr>
      <w:r>
        <w:rPr>
          <w:rFonts w:ascii="Arial" w:cs="Arial" w:eastAsia="Arial" w:hAnsi="Arial"/>
          <w:color w:val="222222"/>
          <w:sz w:val="22"/>
          <w:szCs w:val="22"/>
        </w:rPr>
        <w:t xml:space="preserve">These additions would allow more precise explanations of ROI variation and enable more accurate forecasting of campaign performance.</w:t>
      </w:r>
    </w:p>
    <w:p>
      <w:pPr>
        <w:spacing w:after="160" w:before="0"/>
      </w:pPr>
      <w:r>
        <w:t xml:space="preserve"/>
      </w:r>
    </w:p>
    <w:p>
      <w:pPr>
        <w:pStyle w:val="Heading1"/>
        <w:spacing w:after="120" w:before="360"/>
      </w:pPr>
      <w:r>
        <w:rPr>
          <w:rFonts w:ascii="Georgia" w:cs="Georgia" w:eastAsia="Georgia" w:hAnsi="Georgia"/>
          <w:b/>
          <w:bCs/>
          <w:color w:val="222222"/>
          <w:sz w:val="36"/>
          <w:szCs w:val="36"/>
        </w:rPr>
        <w:t xml:space="preserve">Summary: Core Principles</w:t>
      </w:r>
    </w:p>
    <w:p>
      <w:pPr>
        <w:spacing w:after="120" w:before="80" w:line="320"/>
      </w:pPr>
      <w:r>
        <w:rPr>
          <w:rFonts w:ascii="Arial" w:cs="Arial" w:eastAsia="Arial" w:hAnsi="Arial"/>
          <w:color w:val="222222"/>
          <w:sz w:val="22"/>
          <w:szCs w:val="22"/>
        </w:rPr>
        <w:t xml:space="preserve">This framework rests on five evidence-based principles derived from the correlation analysis.</w:t>
      </w:r>
    </w:p>
    <w:p>
      <w:pPr>
        <w:spacing w:after="80" w:before="0"/>
      </w:pPr>
      <w:r>
        <w:t xml:space="preserve"/>
      </w:r>
    </w:p>
    <w:p>
      <w:pPr>
        <w:pStyle w:val="ListParagraph"/>
        <w:numPr>
          <w:ilvl w:val="0"/>
          <w:numId w:val="3"/>
        </w:numPr>
        <w:spacing w:after="60" w:before="60" w:line="300"/>
      </w:pPr>
      <w:r>
        <w:rPr>
          <w:rFonts w:ascii="Arial" w:cs="Arial" w:eastAsia="Arial" w:hAnsi="Arial"/>
          <w:color w:val="222222"/>
          <w:sz w:val="22"/>
          <w:szCs w:val="22"/>
        </w:rPr>
        <w:t xml:space="preserve">The funnel is structurally sound. Impressions, clicks, and conversions exhibit strong sequential correlation. The infrastructure works; optimization should refine it, not rebuild it.</w:t>
      </w:r>
    </w:p>
    <w:p>
      <w:pPr>
        <w:pStyle w:val="ListParagraph"/>
        <w:numPr>
          <w:ilvl w:val="0"/>
          <w:numId w:val="3"/>
        </w:numPr>
        <w:spacing w:after="60" w:before="60" w:line="300"/>
      </w:pPr>
      <w:r>
        <w:rPr>
          <w:rFonts w:ascii="Arial" w:cs="Arial" w:eastAsia="Arial" w:hAnsi="Arial"/>
          <w:color w:val="222222"/>
          <w:sz w:val="22"/>
          <w:szCs w:val="22"/>
        </w:rPr>
        <w:t xml:space="preserve">Clicks are the critical lever. As the strongest predictor of conversions and a reliable output of impression activity, clicks represent the highest-leverage optimization point in the funnel.</w:t>
      </w:r>
    </w:p>
    <w:p>
      <w:pPr>
        <w:pStyle w:val="ListParagraph"/>
        <w:numPr>
          <w:ilvl w:val="0"/>
          <w:numId w:val="3"/>
        </w:numPr>
        <w:spacing w:after="60" w:before="60" w:line="300"/>
      </w:pPr>
      <w:r>
        <w:rPr>
          <w:rFonts w:ascii="Arial" w:cs="Arial" w:eastAsia="Arial" w:hAnsi="Arial"/>
          <w:color w:val="222222"/>
          <w:sz w:val="22"/>
          <w:szCs w:val="22"/>
        </w:rPr>
        <w:t xml:space="preserve">Budget scale does not substitute for targeting quality. Near-zero correlation between budget and every performance metric indicates that execution quality is the primary performance driver.</w:t>
      </w:r>
    </w:p>
    <w:p>
      <w:pPr>
        <w:pStyle w:val="ListParagraph"/>
        <w:numPr>
          <w:ilvl w:val="0"/>
          <w:numId w:val="3"/>
        </w:numPr>
        <w:spacing w:after="60" w:before="60" w:line="300"/>
      </w:pPr>
      <w:r>
        <w:rPr>
          <w:rFonts w:ascii="Arial" w:cs="Arial" w:eastAsia="Arial" w:hAnsi="Arial"/>
          <w:color w:val="222222"/>
          <w:sz w:val="22"/>
          <w:szCs w:val="22"/>
        </w:rPr>
        <w:t xml:space="preserve">Engagement and conversion are not the same thing. The weak CTR-to-conversion-rate relationship signals a meaningful post-click gap that additional ad spend cannot close.</w:t>
      </w:r>
    </w:p>
    <w:p>
      <w:pPr>
        <w:pStyle w:val="ListParagraph"/>
        <w:numPr>
          <w:ilvl w:val="0"/>
          <w:numId w:val="3"/>
        </w:numPr>
        <w:spacing w:after="60" w:before="60" w:line="300"/>
      </w:pPr>
      <w:r>
        <w:rPr>
          <w:rFonts w:ascii="Arial" w:cs="Arial" w:eastAsia="Arial" w:hAnsi="Arial"/>
          <w:color w:val="222222"/>
          <w:sz w:val="22"/>
          <w:szCs w:val="22"/>
        </w:rPr>
        <w:t xml:space="preserve">ROI requires a broader model. Profitability depends on variables beyond the standard traffic funnel. Sustainable performance improvement requires incorporating revenue dynamics, not just engagement metrics.</w:t>
      </w:r>
    </w:p>
    <w:p>
      <w:pPr>
        <w:spacing w:after="200" w:before="0"/>
      </w:pPr>
      <w:r>
        <w:t xml:space="preserve"/>
      </w:r>
    </w:p>
    <w:p>
      <w:pPr>
        <w:pBdr>
          <w:top w:val="single" w:color="AAAAAA" w:sz="4" w:space="6"/>
        </w:pBdr>
        <w:spacing w:after="60" w:before="160"/>
      </w:pPr>
      <w:r>
        <w:rPr>
          <w:rFonts w:ascii="Arial" w:cs="Arial" w:eastAsia="Arial" w:hAnsi="Arial"/>
          <w:i/>
          <w:iCs/>
          <w:color w:val="888888"/>
          <w:sz w:val="18"/>
          <w:szCs w:val="18"/>
        </w:rPr>
        <w:t xml:space="preserve">This document is a synthesized reference based on original unpublished research by YashKarle (2026). For collaboration, citation, or permissions, contact the author directly. Formal citation details will be provided upon publication.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Georgia" w:cs="Georgia" w:eastAsia="Georgia" w:hAnsi="Georgia"/>
      <w:b/>
      <w:bCs/>
      <w:color w:val="222222"/>
      <w:sz w:val="36"/>
      <w:szCs w:val="36"/>
    </w:rPr>
  </w:style>
  <w:style w:type="paragraph" w:styleId="Heading2">
    <w:name w:val="Heading 2"/>
    <w:basedOn w:val="Normal"/>
    <w:next w:val="Normal"/>
    <w:qFormat/>
    <w:pPr>
      <w:spacing w:after="100" w:before="280"/>
      <w:outlineLvl w:val="1"/>
    </w:pPr>
    <w:rPr>
      <w:rFonts w:ascii="Georgia" w:cs="Georgia" w:eastAsia="Georgia" w:hAnsi="Georgia"/>
      <w:b/>
      <w:bCs/>
      <w:color w:val="222222"/>
      <w:sz w:val="28"/>
      <w:szCs w:val="28"/>
    </w:rPr>
  </w:style>
  <w:style w:type="paragraph" w:styleId="Heading3">
    <w:name w:val="Heading 3"/>
    <w:basedOn w:val="Normal"/>
    <w:next w:val="Normal"/>
    <w:qFormat/>
    <w:pPr>
      <w:spacing w:after="80" w:before="22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2026-04-29T09:57:04.804Z</dcterms:created>
  <dcterms:modified xsi:type="dcterms:W3CDTF">2026-04-29T09:57:04.804Z</dcterms:modified>
</cp:coreProperties>
</file>

<file path=docProps/custom.xml><?xml version="1.0" encoding="utf-8"?>
<Properties xmlns="http://schemas.openxmlformats.org/officeDocument/2006/custom-properties" xmlns:vt="http://schemas.openxmlformats.org/officeDocument/2006/docPropsVTypes"/>
</file>