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Valueweight 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T-Shirt Coton 160g — Fruit of the Loom Réf. 0610360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0610360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FotL Réf. 0610360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Fruit of the Loom® — Maroc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Maroc — Accès direct usine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100% Coton (Ash: 99%+1% · H.Grey: 97%+3%)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Blanc : 160 g/m² — Couleurs : 165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 / Hommes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Tailles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 · M · L · XL · 2XL · 3XL · 4XL · 5XL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Col rond bord côte coton/LYCRA® · Tear Away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40°C maximum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Tear Away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Blanc · Noir · Navy · Burgundy · Rouge · Orange · Bottle Green · Classic Olive · Light Pink · Heather Grey · Khaki · Royal Blue · Azure Blue · Deep Navy · Kelly Green · Lime · Sunflower · Fuchsia · Chocolate · et autres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DTF · Transfert · Broderie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Poitrine · Dos · Manches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T-shirt Valueweight FotL — référence textile promotionnel. Col rond bord côte coton/LYCRA® pour maintien parfait. Maille fine pour impression haute résolution. Étiquette Tear Away. Production Maroc — délai 48-72h sans dédouanement.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9"/>
              <w:gridCol w:w="1036"/>
              <w:gridCol w:w="1036"/>
              <w:gridCol w:w="1036"/>
              <w:gridCol w:w="10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Blanc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Blanc TTC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Couleur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Couleur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14.08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16.90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26B0A"/>
                      <w:sz w:val="14"/>
                      <w:szCs w:val="14"/>
                    </w:rPr>
                    <w:t xml:space="preserve">17.58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21.10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21.12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25.34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26.37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31.64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24.64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29.57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30.76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36.92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 Blanc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23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27.60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⭐ Johns Couleur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1"/>
                      <w:szCs w:val="11"/>
                    </w:rPr>
                    <w:t xml:space="preserve">+62%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28.5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34.20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19.43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24.26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48-72h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48-72h (Production Maroc)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S/M/L/XL/2XL : 72 pcs · 3XL/5XL : 36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Marque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Fruit of the Loom®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Maille fine haute résolution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Prod.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Maroc — Sans dédouanement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Vendu à Style Tex (25 ans Casa) à 22,59 MAD HT. Prix fixe 30 MAD TTC toutes couleurs. Délai 48-72h.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0610360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59976e6cb78ae7bcecd472a9c554c62100ff4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2026-05-30T17:40:37.115Z</dcterms:created>
  <dcterms:modified xsi:type="dcterms:W3CDTF">2026-05-30T17:40:37.115Z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