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7E31" w14:textId="77777777" w:rsidR="00BD3EB9" w:rsidRPr="00BA073A" w:rsidRDefault="00BD3EB9" w:rsidP="00BD3EB9">
      <w:pPr>
        <w:rPr>
          <w:b/>
        </w:rPr>
      </w:pPr>
      <w:bookmarkStart w:id="0" w:name="_Hlk223452357"/>
      <w:r>
        <w:rPr>
          <w:rFonts w:hint="eastAsia"/>
          <w:b/>
        </w:rPr>
        <w:t>3</w:t>
      </w:r>
      <w:r w:rsidRPr="00C246BC">
        <w:rPr>
          <w:b/>
        </w:rPr>
        <w:t>.</w:t>
      </w:r>
      <w:r>
        <w:rPr>
          <w:rFonts w:hint="eastAsia"/>
          <w:b/>
        </w:rPr>
        <w:t>1</w:t>
      </w:r>
      <w:r w:rsidRPr="00C246BC">
        <w:rPr>
          <w:b/>
        </w:rPr>
        <w:t xml:space="preserve"> Experimental </w:t>
      </w:r>
      <w:r>
        <w:rPr>
          <w:rFonts w:hint="eastAsia"/>
          <w:b/>
        </w:rPr>
        <w:t>result</w:t>
      </w:r>
    </w:p>
    <w:p w14:paraId="74AFF47D" w14:textId="77777777" w:rsidR="00BD3EB9" w:rsidRPr="00BD3EB9" w:rsidRDefault="00BD3EB9" w:rsidP="00BD3EB9">
      <w:r>
        <w:t xml:space="preserve">The measured DC resistance 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, effective electrical conductivity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, and the associated standard deviations </w:t>
      </w:r>
      <w:r>
        <w:rPr>
          <w:i/>
          <w:iCs/>
        </w:rPr>
        <w:t>R</w:t>
      </w:r>
      <w:r>
        <w:rPr>
          <w:vertAlign w:val="subscript"/>
        </w:rPr>
        <w:t>SD</w:t>
      </w:r>
      <w:r>
        <w:t xml:space="preserve"> and </w:t>
      </w:r>
      <w:proofErr w:type="spellStart"/>
      <w:r>
        <w:t>σ</w:t>
      </w:r>
      <w:r>
        <w:rPr>
          <w:vertAlign w:val="subscript"/>
        </w:rPr>
        <w:t>SD</w:t>
      </w:r>
      <w:proofErr w:type="spellEnd"/>
      <w:r>
        <w:t xml:space="preserve"> obtained for the three lattice architectures (</w:t>
      </w:r>
      <w:r>
        <w:rPr>
          <w:i/>
          <w:iCs/>
        </w:rPr>
        <w:t>n</w:t>
      </w:r>
      <w:r>
        <w:t xml:space="preserve"> = 3 specimens per architecture) are listed in Table 2. The specimen geometry parameters—gauge length </w:t>
      </w:r>
      <w:r>
        <w:rPr>
          <w:i/>
          <w:iCs/>
        </w:rPr>
        <w:t>L</w:t>
      </w:r>
      <w:r>
        <w:t xml:space="preserve"> and cross-sectional area </w:t>
      </w:r>
      <w:r>
        <w:rPr>
          <w:i/>
          <w:iCs/>
        </w:rPr>
        <w:t>A</w:t>
      </w:r>
      <w:r>
        <w:t>—are included for reference.</w:t>
      </w:r>
    </w:p>
    <w:p w14:paraId="1D4365AF" w14:textId="77777777" w:rsidR="00BD3EB9" w:rsidRPr="00BA073A" w:rsidRDefault="00BD3EB9" w:rsidP="00BD3EB9">
      <w:pPr>
        <w:pStyle w:val="Tab"/>
        <w:jc w:val="center"/>
      </w:pPr>
      <w:r w:rsidRPr="005F6681">
        <w:rPr>
          <w:b/>
          <w:bCs/>
        </w:rPr>
        <w:t>Table 2.</w:t>
      </w:r>
      <w:r w:rsidRPr="005F6681">
        <w:t xml:space="preserve"> DC resistance and effective electrical conductivity of sintered Graphene/</w:t>
      </w:r>
      <w:proofErr w:type="spellStart"/>
      <w:r w:rsidRPr="005F6681">
        <w:t>SiC</w:t>
      </w:r>
      <w:proofErr w:type="spellEnd"/>
      <w:r w:rsidRPr="005F6681">
        <w:t xml:space="preserve"> lattices (n = 3 per architecture).</w:t>
      </w:r>
    </w:p>
    <w:tbl>
      <w:tblPr>
        <w:tblStyle w:val="a9"/>
        <w:tblpPr w:leftFromText="180" w:rightFromText="180" w:vertAnchor="text" w:horzAnchor="margin" w:tblpY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9"/>
        <w:gridCol w:w="1161"/>
        <w:gridCol w:w="1051"/>
        <w:gridCol w:w="1078"/>
        <w:gridCol w:w="1000"/>
        <w:gridCol w:w="1141"/>
        <w:gridCol w:w="1054"/>
      </w:tblGrid>
      <w:tr w:rsidR="00BD3EB9" w14:paraId="241013DD" w14:textId="77777777" w:rsidTr="00706120">
        <w:tc>
          <w:tcPr>
            <w:tcW w:w="2244" w:type="dxa"/>
            <w:tcBorders>
              <w:top w:val="single" w:sz="12" w:space="0" w:color="auto"/>
              <w:bottom w:val="single" w:sz="12" w:space="0" w:color="auto"/>
            </w:tcBorders>
          </w:tcPr>
          <w:p w14:paraId="3DA0B13B" w14:textId="77777777" w:rsidR="00BD3EB9" w:rsidRPr="00892E74" w:rsidRDefault="00BD3EB9" w:rsidP="00706120">
            <w:pPr>
              <w:jc w:val="center"/>
              <w:rPr>
                <w:rFonts w:eastAsiaTheme="minorEastAsia"/>
                <w:b/>
                <w:color w:val="000000" w:themeColor="text1"/>
                <w:lang w:val="ru-RU"/>
              </w:rPr>
            </w:pPr>
            <w:proofErr w:type="spellStart"/>
            <w:r w:rsidRPr="00892E74">
              <w:rPr>
                <w:rFonts w:eastAsiaTheme="minorEastAsia"/>
                <w:b/>
                <w:color w:val="000000" w:themeColor="text1"/>
                <w:lang w:val="ru-RU"/>
              </w:rPr>
              <w:t>Lattice</w:t>
            </w:r>
            <w:proofErr w:type="spellEnd"/>
            <w:r w:rsidRPr="00892E74">
              <w:rPr>
                <w:rFonts w:eastAsiaTheme="minorEastAsia"/>
                <w:b/>
                <w:color w:val="000000" w:themeColor="text1"/>
                <w:lang w:val="ru-RU"/>
              </w:rPr>
              <w:t xml:space="preserve"> </w:t>
            </w:r>
            <w:proofErr w:type="spellStart"/>
            <w:r w:rsidRPr="00892E74">
              <w:rPr>
                <w:rFonts w:eastAsiaTheme="minorEastAsia"/>
                <w:b/>
                <w:color w:val="000000" w:themeColor="text1"/>
                <w:lang w:val="ru-RU"/>
              </w:rPr>
              <w:t>Structure</w:t>
            </w:r>
            <w:proofErr w:type="spellEnd"/>
          </w:p>
        </w:tc>
        <w:tc>
          <w:tcPr>
            <w:tcW w:w="1300" w:type="dxa"/>
            <w:tcBorders>
              <w:top w:val="single" w:sz="12" w:space="0" w:color="auto"/>
              <w:bottom w:val="single" w:sz="12" w:space="0" w:color="auto"/>
            </w:tcBorders>
          </w:tcPr>
          <w:p w14:paraId="58BC0949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r w:rsidRPr="00B929B8">
              <w:rPr>
                <w:rFonts w:ascii="Cambria Math" w:eastAsiaTheme="minorEastAsia" w:hAnsi="Cambria Math" w:cs="Cambria Math"/>
                <w:b/>
                <w:i/>
                <w:iCs/>
              </w:rPr>
              <w:t>𝑳</w:t>
            </w:r>
            <w:r w:rsidRPr="00B929B8">
              <w:rPr>
                <w:rFonts w:eastAsiaTheme="minorEastAsia"/>
                <w:b/>
                <w:i/>
                <w:iCs/>
              </w:rPr>
              <w:t xml:space="preserve"> </w:t>
            </w:r>
            <w:r w:rsidRPr="003A5B0C">
              <w:rPr>
                <w:rFonts w:eastAsiaTheme="minorEastAsia"/>
                <w:b/>
              </w:rPr>
              <w:t>(mm)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40BD2217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r w:rsidRPr="00B929B8">
              <w:rPr>
                <w:rFonts w:ascii="Cambria Math" w:eastAsiaTheme="minorEastAsia" w:hAnsi="Cambria Math" w:cs="Cambria Math"/>
                <w:b/>
                <w:i/>
                <w:iCs/>
              </w:rPr>
              <w:t>𝑨</w:t>
            </w:r>
            <w:r w:rsidRPr="00B929B8">
              <w:rPr>
                <w:rFonts w:eastAsiaTheme="minorEastAsia"/>
                <w:b/>
                <w:i/>
                <w:iCs/>
              </w:rPr>
              <w:t xml:space="preserve"> </w:t>
            </w:r>
            <w:r w:rsidRPr="003A5B0C">
              <w:rPr>
                <w:rFonts w:eastAsiaTheme="minorEastAsia"/>
                <w:b/>
              </w:rPr>
              <w:t>(mm²)</w:t>
            </w:r>
          </w:p>
        </w:tc>
        <w:tc>
          <w:tcPr>
            <w:tcW w:w="1169" w:type="dxa"/>
            <w:tcBorders>
              <w:top w:val="single" w:sz="12" w:space="0" w:color="auto"/>
              <w:bottom w:val="single" w:sz="12" w:space="0" w:color="auto"/>
            </w:tcBorders>
          </w:tcPr>
          <w:p w14:paraId="32D1ADC3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proofErr w:type="spellStart"/>
            <w:r w:rsidRPr="00B929B8">
              <w:rPr>
                <w:rFonts w:ascii="Cambria Math" w:eastAsiaTheme="minorEastAsia" w:hAnsi="Cambria Math"/>
                <w:b/>
                <w:i/>
                <w:iCs/>
              </w:rPr>
              <w:t>R</w:t>
            </w:r>
            <w:r w:rsidRPr="00B929B8">
              <w:rPr>
                <w:rFonts w:ascii="Cambria Math" w:eastAsiaTheme="minorEastAsia" w:hAnsi="Cambria Math"/>
                <w:b/>
                <w:sz w:val="16"/>
                <w:szCs w:val="16"/>
                <w:vertAlign w:val="subscript"/>
              </w:rPr>
              <w:t>mean</w:t>
            </w:r>
            <w:proofErr w:type="spellEnd"/>
            <w:r w:rsidRPr="00B929B8">
              <w:rPr>
                <w:rFonts w:eastAsiaTheme="minorEastAsia"/>
                <w:b/>
              </w:rPr>
              <w:t xml:space="preserve"> (Ω)</w:t>
            </w:r>
          </w:p>
        </w:tc>
        <w:tc>
          <w:tcPr>
            <w:tcW w:w="1097" w:type="dxa"/>
            <w:tcBorders>
              <w:top w:val="single" w:sz="12" w:space="0" w:color="auto"/>
              <w:bottom w:val="single" w:sz="12" w:space="0" w:color="auto"/>
            </w:tcBorders>
          </w:tcPr>
          <w:p w14:paraId="3103F0C6" w14:textId="77777777" w:rsidR="00BD3EB9" w:rsidRPr="00B929B8" w:rsidRDefault="00BD3EB9" w:rsidP="00706120">
            <w:pPr>
              <w:jc w:val="center"/>
              <w:rPr>
                <w:rFonts w:ascii="Cambria Math" w:eastAsiaTheme="minorEastAsia" w:hAnsi="Cambria Math"/>
                <w:b/>
                <w:i/>
                <w:iCs/>
              </w:rPr>
            </w:pPr>
            <w:r w:rsidRPr="00B929B8">
              <w:rPr>
                <w:rFonts w:ascii="Cambria Math" w:eastAsiaTheme="minorEastAsia" w:hAnsi="Cambria Math"/>
                <w:b/>
                <w:i/>
                <w:iCs/>
              </w:rPr>
              <w:t>R</w:t>
            </w:r>
            <w:r w:rsidRPr="003A5B0C">
              <w:rPr>
                <w:rFonts w:ascii="Cambria Math" w:eastAsiaTheme="minorEastAsia" w:hAnsi="Cambria Math" w:hint="eastAsia"/>
                <w:b/>
                <w:i/>
                <w:iCs/>
                <w:sz w:val="18"/>
                <w:szCs w:val="18"/>
                <w:vertAlign w:val="subscript"/>
              </w:rPr>
              <w:t>SD</w:t>
            </w:r>
            <w:r w:rsidRPr="00B929B8">
              <w:rPr>
                <w:rFonts w:eastAsiaTheme="minorEastAsia"/>
                <w:b/>
              </w:rPr>
              <w:t xml:space="preserve"> (Ω)</w:t>
            </w:r>
          </w:p>
        </w:tc>
        <w:tc>
          <w:tcPr>
            <w:tcW w:w="1250" w:type="dxa"/>
            <w:tcBorders>
              <w:top w:val="single" w:sz="12" w:space="0" w:color="auto"/>
              <w:bottom w:val="single" w:sz="12" w:space="0" w:color="auto"/>
            </w:tcBorders>
          </w:tcPr>
          <w:p w14:paraId="7F38BB16" w14:textId="77777777" w:rsidR="00BD3EB9" w:rsidRPr="00B929B8" w:rsidRDefault="00BD3EB9" w:rsidP="00706120">
            <w:pPr>
              <w:jc w:val="center"/>
              <w:rPr>
                <w:rFonts w:ascii="Cambria Math" w:eastAsiaTheme="minorEastAsia" w:hAnsi="Cambria Math"/>
                <w:b/>
                <w:i/>
                <w:iCs/>
              </w:rPr>
            </w:pPr>
            <w:proofErr w:type="spellStart"/>
            <w:r w:rsidRPr="00B929B8">
              <w:rPr>
                <w:rFonts w:ascii="Cambria Math" w:eastAsiaTheme="minorEastAsia" w:hAnsi="Cambria Math"/>
                <w:b/>
                <w:i/>
                <w:iCs/>
              </w:rPr>
              <w:t>σ</w:t>
            </w:r>
            <w:proofErr w:type="gramStart"/>
            <w:r w:rsidRPr="00B929B8">
              <w:rPr>
                <w:rFonts w:ascii="Cambria Math" w:eastAsiaTheme="minorEastAsia" w:hAnsi="Cambria Math"/>
                <w:b/>
                <w:i/>
                <w:iCs/>
                <w:sz w:val="18"/>
                <w:szCs w:val="18"/>
                <w:vertAlign w:val="subscript"/>
              </w:rPr>
              <w:t>eff</w:t>
            </w:r>
            <w:proofErr w:type="spellEnd"/>
            <w:r w:rsidRPr="00B929B8">
              <w:rPr>
                <w:rFonts w:ascii="Cambria Math" w:eastAsiaTheme="minorEastAsia" w:hAnsi="Cambria Math"/>
                <w:b/>
                <w:i/>
                <w:iCs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Cambria Math" w:eastAsiaTheme="minorEastAsia" w:hAnsi="Cambria Math" w:hint="eastAsia"/>
                <w:b/>
                <w:i/>
                <w:iCs/>
                <w:sz w:val="18"/>
                <w:szCs w:val="18"/>
                <w:vertAlign w:val="subscript"/>
              </w:rPr>
              <w:t xml:space="preserve"> </w:t>
            </w:r>
            <w:r w:rsidRPr="00B929B8">
              <w:rPr>
                <w:rFonts w:eastAsiaTheme="minorEastAsia"/>
                <w:b/>
              </w:rPr>
              <w:t>(</w:t>
            </w:r>
            <w:proofErr w:type="gramEnd"/>
            <w:r w:rsidRPr="00B929B8">
              <w:rPr>
                <w:rFonts w:eastAsiaTheme="minorEastAsia"/>
                <w:b/>
              </w:rPr>
              <w:t>S/m)</w:t>
            </w:r>
          </w:p>
        </w:tc>
        <w:tc>
          <w:tcPr>
            <w:tcW w:w="1161" w:type="dxa"/>
            <w:tcBorders>
              <w:top w:val="single" w:sz="12" w:space="0" w:color="auto"/>
              <w:bottom w:val="single" w:sz="12" w:space="0" w:color="auto"/>
            </w:tcBorders>
          </w:tcPr>
          <w:p w14:paraId="3E6E2F0E" w14:textId="77777777" w:rsidR="00BD3EB9" w:rsidRPr="00B929B8" w:rsidRDefault="00BD3EB9" w:rsidP="00706120">
            <w:pPr>
              <w:jc w:val="center"/>
              <w:rPr>
                <w:rFonts w:ascii="Cambria Math" w:eastAsiaTheme="minorEastAsia" w:hAnsi="Cambria Math"/>
                <w:b/>
                <w:i/>
                <w:iCs/>
              </w:rPr>
            </w:pPr>
            <w:proofErr w:type="spellStart"/>
            <w:r w:rsidRPr="00B929B8">
              <w:rPr>
                <w:rFonts w:ascii="Cambria Math" w:eastAsiaTheme="minorEastAsia" w:hAnsi="Cambria Math"/>
                <w:b/>
                <w:i/>
                <w:iCs/>
              </w:rPr>
              <w:t>σ</w:t>
            </w:r>
            <w:r w:rsidRPr="00B929B8">
              <w:rPr>
                <w:rFonts w:ascii="Cambria Math" w:eastAsiaTheme="minorEastAsia" w:hAnsi="Cambria Math"/>
                <w:b/>
                <w:i/>
                <w:iCs/>
                <w:sz w:val="16"/>
                <w:szCs w:val="16"/>
                <w:vertAlign w:val="subscript"/>
              </w:rPr>
              <w:t>SD</w:t>
            </w:r>
            <w:proofErr w:type="spellEnd"/>
            <w:r>
              <w:rPr>
                <w:rFonts w:ascii="Cambria Math" w:eastAsiaTheme="minorEastAsia" w:hAnsi="Cambria Math" w:hint="eastAsia"/>
                <w:b/>
                <w:i/>
                <w:iCs/>
              </w:rPr>
              <w:t xml:space="preserve"> </w:t>
            </w:r>
            <w:r w:rsidRPr="003A5B0C">
              <w:rPr>
                <w:rFonts w:eastAsiaTheme="minorEastAsia"/>
                <w:b/>
              </w:rPr>
              <w:t>(S/m)</w:t>
            </w:r>
          </w:p>
        </w:tc>
      </w:tr>
      <w:tr w:rsidR="00BD3EB9" w14:paraId="1A4EBD14" w14:textId="77777777" w:rsidTr="00706120">
        <w:tc>
          <w:tcPr>
            <w:tcW w:w="2244" w:type="dxa"/>
            <w:tcBorders>
              <w:top w:val="single" w:sz="12" w:space="0" w:color="auto"/>
            </w:tcBorders>
          </w:tcPr>
          <w:p w14:paraId="17D6CEB8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r w:rsidRPr="004A24F3">
              <w:rPr>
                <w:rFonts w:eastAsiaTheme="minorEastAsia"/>
                <w:b/>
              </w:rPr>
              <w:t>Grid</w:t>
            </w:r>
          </w:p>
        </w:tc>
        <w:tc>
          <w:tcPr>
            <w:tcW w:w="1300" w:type="dxa"/>
            <w:tcBorders>
              <w:top w:val="single" w:sz="12" w:space="0" w:color="auto"/>
            </w:tcBorders>
          </w:tcPr>
          <w:p w14:paraId="26C51C9F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14.</w:t>
            </w:r>
            <w:r>
              <w:rPr>
                <w:rFonts w:eastAsiaTheme="minorEastAsia"/>
                <w:bCs/>
              </w:rPr>
              <w:t>0</w:t>
            </w:r>
            <w:r w:rsidRPr="000A2BA8">
              <w:rPr>
                <w:rFonts w:eastAsiaTheme="minorEastAsia"/>
                <w:bCs/>
              </w:rPr>
              <w:t>6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72E7C6F1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6</w:t>
            </w:r>
            <w:r>
              <w:rPr>
                <w:rFonts w:eastAsiaTheme="minorEastAsia"/>
                <w:bCs/>
              </w:rPr>
              <w:t>4</w:t>
            </w:r>
            <w:r w:rsidRPr="000A2BA8">
              <w:rPr>
                <w:rFonts w:eastAsiaTheme="minorEastAsia"/>
                <w:bCs/>
              </w:rPr>
              <w:t>.</w:t>
            </w:r>
            <w:r>
              <w:rPr>
                <w:rFonts w:eastAsiaTheme="minorEastAsia"/>
                <w:bCs/>
              </w:rPr>
              <w:t>402</w:t>
            </w:r>
          </w:p>
        </w:tc>
        <w:tc>
          <w:tcPr>
            <w:tcW w:w="1169" w:type="dxa"/>
            <w:tcBorders>
              <w:top w:val="single" w:sz="12" w:space="0" w:color="auto"/>
            </w:tcBorders>
          </w:tcPr>
          <w:p w14:paraId="40C7FAD2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F2F34">
              <w:t>34.983</w:t>
            </w:r>
          </w:p>
        </w:tc>
        <w:tc>
          <w:tcPr>
            <w:tcW w:w="1097" w:type="dxa"/>
            <w:tcBorders>
              <w:top w:val="single" w:sz="12" w:space="0" w:color="auto"/>
            </w:tcBorders>
          </w:tcPr>
          <w:p w14:paraId="52EE1A16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0.532</w:t>
            </w:r>
          </w:p>
        </w:tc>
        <w:tc>
          <w:tcPr>
            <w:tcW w:w="1250" w:type="dxa"/>
            <w:tcBorders>
              <w:top w:val="single" w:sz="12" w:space="0" w:color="auto"/>
            </w:tcBorders>
          </w:tcPr>
          <w:p w14:paraId="136BA8FE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6.240</w:t>
            </w:r>
          </w:p>
        </w:tc>
        <w:tc>
          <w:tcPr>
            <w:tcW w:w="1161" w:type="dxa"/>
            <w:tcBorders>
              <w:top w:val="single" w:sz="12" w:space="0" w:color="auto"/>
            </w:tcBorders>
          </w:tcPr>
          <w:p w14:paraId="243EDA70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0.095</w:t>
            </w:r>
          </w:p>
        </w:tc>
      </w:tr>
      <w:tr w:rsidR="00BD3EB9" w14:paraId="6F4A5E9B" w14:textId="77777777" w:rsidTr="00706120">
        <w:tc>
          <w:tcPr>
            <w:tcW w:w="2244" w:type="dxa"/>
          </w:tcPr>
          <w:p w14:paraId="59B85931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proofErr w:type="spellStart"/>
            <w:r>
              <w:rPr>
                <w:rFonts w:eastAsiaTheme="minorEastAsia" w:hint="eastAsia"/>
                <w:b/>
                <w:lang w:val="ru-RU"/>
              </w:rPr>
              <w:t>Scaffold</w:t>
            </w:r>
            <w:proofErr w:type="spellEnd"/>
          </w:p>
        </w:tc>
        <w:tc>
          <w:tcPr>
            <w:tcW w:w="1300" w:type="dxa"/>
          </w:tcPr>
          <w:p w14:paraId="10429E18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14.2</w:t>
            </w: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1134" w:type="dxa"/>
          </w:tcPr>
          <w:p w14:paraId="66B7CAC5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6</w:t>
            </w:r>
            <w:r>
              <w:rPr>
                <w:rFonts w:eastAsiaTheme="minorEastAsia"/>
                <w:bCs/>
              </w:rPr>
              <w:t>6</w:t>
            </w:r>
            <w:r w:rsidRPr="000A2BA8">
              <w:rPr>
                <w:rFonts w:eastAsiaTheme="minorEastAsia"/>
                <w:bCs/>
              </w:rPr>
              <w:t>.</w:t>
            </w:r>
            <w:r>
              <w:rPr>
                <w:rFonts w:eastAsiaTheme="minorEastAsia"/>
                <w:bCs/>
              </w:rPr>
              <w:t>07</w:t>
            </w:r>
          </w:p>
        </w:tc>
        <w:tc>
          <w:tcPr>
            <w:tcW w:w="1169" w:type="dxa"/>
          </w:tcPr>
          <w:p w14:paraId="33EACF6B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F2F34">
              <w:t>21.75</w:t>
            </w:r>
          </w:p>
        </w:tc>
        <w:tc>
          <w:tcPr>
            <w:tcW w:w="1097" w:type="dxa"/>
          </w:tcPr>
          <w:p w14:paraId="52240C45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t>0.690</w:t>
            </w:r>
          </w:p>
        </w:tc>
        <w:tc>
          <w:tcPr>
            <w:tcW w:w="1250" w:type="dxa"/>
          </w:tcPr>
          <w:p w14:paraId="4BF78915" w14:textId="77777777" w:rsidR="00BD3EB9" w:rsidRPr="008C6678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8C6678">
              <w:rPr>
                <w:rFonts w:eastAsiaTheme="minorEastAsia"/>
                <w:bCs/>
              </w:rPr>
              <w:t>9.916</w:t>
            </w:r>
          </w:p>
        </w:tc>
        <w:tc>
          <w:tcPr>
            <w:tcW w:w="1161" w:type="dxa"/>
          </w:tcPr>
          <w:p w14:paraId="7252D88C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0.314</w:t>
            </w:r>
          </w:p>
        </w:tc>
      </w:tr>
      <w:tr w:rsidR="00BD3EB9" w:rsidRPr="000D543F" w14:paraId="43A5ACAE" w14:textId="77777777" w:rsidTr="00706120">
        <w:tc>
          <w:tcPr>
            <w:tcW w:w="2244" w:type="dxa"/>
            <w:tcBorders>
              <w:bottom w:val="single" w:sz="12" w:space="0" w:color="auto"/>
            </w:tcBorders>
          </w:tcPr>
          <w:p w14:paraId="131C41F1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proofErr w:type="spellStart"/>
            <w:r>
              <w:rPr>
                <w:rFonts w:eastAsiaTheme="minorEastAsia" w:hint="eastAsia"/>
                <w:b/>
                <w:lang w:val="ru-RU"/>
              </w:rPr>
              <w:t>Honeycomb</w:t>
            </w:r>
            <w:proofErr w:type="spellEnd"/>
          </w:p>
        </w:tc>
        <w:tc>
          <w:tcPr>
            <w:tcW w:w="1300" w:type="dxa"/>
            <w:tcBorders>
              <w:bottom w:val="single" w:sz="12" w:space="0" w:color="auto"/>
            </w:tcBorders>
          </w:tcPr>
          <w:p w14:paraId="3E1A881A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14.2</w:t>
            </w:r>
            <w:r>
              <w:rPr>
                <w:rFonts w:eastAsiaTheme="minorEastAsia"/>
                <w:bCs/>
              </w:rPr>
              <w:t>8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1AE42736" w14:textId="77777777" w:rsidR="00BD3EB9" w:rsidRPr="000F2F34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>
              <w:rPr>
                <w:rFonts w:eastAsiaTheme="minorEastAsia"/>
                <w:bCs/>
              </w:rPr>
              <w:t>63.536</w:t>
            </w:r>
          </w:p>
        </w:tc>
        <w:tc>
          <w:tcPr>
            <w:tcW w:w="1169" w:type="dxa"/>
            <w:tcBorders>
              <w:bottom w:val="single" w:sz="12" w:space="0" w:color="auto"/>
            </w:tcBorders>
          </w:tcPr>
          <w:p w14:paraId="3DC10D52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F2F34">
              <w:t>20.676</w:t>
            </w:r>
          </w:p>
        </w:tc>
        <w:tc>
          <w:tcPr>
            <w:tcW w:w="1097" w:type="dxa"/>
            <w:tcBorders>
              <w:bottom w:val="single" w:sz="12" w:space="0" w:color="auto"/>
            </w:tcBorders>
          </w:tcPr>
          <w:p w14:paraId="3228E04D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0.477</w:t>
            </w:r>
          </w:p>
        </w:tc>
        <w:tc>
          <w:tcPr>
            <w:tcW w:w="1250" w:type="dxa"/>
            <w:tcBorders>
              <w:bottom w:val="single" w:sz="12" w:space="0" w:color="auto"/>
            </w:tcBorders>
          </w:tcPr>
          <w:p w14:paraId="6531B7D2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10.869</w:t>
            </w:r>
          </w:p>
        </w:tc>
        <w:tc>
          <w:tcPr>
            <w:tcW w:w="1161" w:type="dxa"/>
            <w:tcBorders>
              <w:bottom w:val="single" w:sz="12" w:space="0" w:color="auto"/>
            </w:tcBorders>
          </w:tcPr>
          <w:p w14:paraId="3F65E8ED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0.250</w:t>
            </w:r>
          </w:p>
        </w:tc>
      </w:tr>
    </w:tbl>
    <w:p w14:paraId="45DE6E38" w14:textId="77777777" w:rsidR="00BD3EB9" w:rsidRDefault="00BD3EB9" w:rsidP="00BD3EB9">
      <w:r>
        <w:rPr>
          <w:noProof/>
        </w:rPr>
        <w:drawing>
          <wp:anchor distT="0" distB="0" distL="114300" distR="114300" simplePos="0" relativeHeight="251659264" behindDoc="0" locked="0" layoutInCell="1" allowOverlap="1" wp14:anchorId="3FB12B89" wp14:editId="0AE00EDA">
            <wp:simplePos x="0" y="0"/>
            <wp:positionH relativeFrom="margin">
              <wp:posOffset>-92456</wp:posOffset>
            </wp:positionH>
            <wp:positionV relativeFrom="paragraph">
              <wp:posOffset>2808224</wp:posOffset>
            </wp:positionV>
            <wp:extent cx="6008370" cy="2116455"/>
            <wp:effectExtent l="0" t="0" r="0" b="0"/>
            <wp:wrapTopAndBottom/>
            <wp:docPr id="1377033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39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Grid architecture yielded the highest mean resistance (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= 34.983 ± 0.532 Ω) and the lowest effective conductivity (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= 6.240 ± 0.095 S/m). The Scaffold architecture showed intermediate values: 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= 21.75 ± 0.690 Ω and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= 9.916 ± 0.314 S/m. The Honeycomb architecture exhibited the lowest resistance (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= 20.676 ± 0.477 Ω) and the highest effective conductivity (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= 10.869 ± 0.250 S/m). Accordingly, 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decreases monotonically in the order Grid &gt; Scaffold &gt; Honeycomb, while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increases in the reverse order: Grid &lt; Scaffold &lt; Honeycomb. These trends are illustrated graphically in Fig. 10, which plots 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(Fig. 10(a)) and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(Fig. 10(b)) as a function of lattice architecture. The error bars represent the standard deviation of three independently printed and sintered specimens.</w:t>
      </w:r>
    </w:p>
    <w:p w14:paraId="0137407A" w14:textId="77777777" w:rsidR="00BD3EB9" w:rsidRDefault="00BD3EB9" w:rsidP="00BD3EB9">
      <w:pPr>
        <w:spacing w:before="60" w:after="240" w:line="276" w:lineRule="auto"/>
        <w:jc w:val="center"/>
      </w:pPr>
      <w:r w:rsidRPr="00DD64A7">
        <w:rPr>
          <w:b/>
          <w:bCs/>
        </w:rPr>
        <w:t xml:space="preserve">Fig. 10. </w:t>
      </w:r>
      <w:r w:rsidRPr="00DD64A7">
        <w:t xml:space="preserve">Experimentally measured (a) mean DC resistance </w:t>
      </w:r>
      <w:proofErr w:type="spellStart"/>
      <w:r w:rsidRPr="00DD64A7">
        <w:rPr>
          <w:i/>
          <w:iCs/>
        </w:rPr>
        <w:t>R</w:t>
      </w:r>
      <w:r w:rsidRPr="00DD64A7">
        <w:rPr>
          <w:vertAlign w:val="subscript"/>
        </w:rPr>
        <w:t>mean</w:t>
      </w:r>
      <w:proofErr w:type="spellEnd"/>
      <w:r w:rsidRPr="00DD64A7">
        <w:t xml:space="preserve"> (Ω) and (b) effective electrical conductivity </w:t>
      </w:r>
      <w:proofErr w:type="spellStart"/>
      <w:r w:rsidRPr="00DD64A7">
        <w:t>σ</w:t>
      </w:r>
      <w:r w:rsidRPr="00DD64A7">
        <w:rPr>
          <w:vertAlign w:val="subscript"/>
        </w:rPr>
        <w:t>eff</w:t>
      </w:r>
      <w:proofErr w:type="spellEnd"/>
      <w:r w:rsidRPr="00DD64A7">
        <w:t xml:space="preserve"> (S/m) as a function of lattice architecture (Grid, Honeycomb, Scaffold). Error bars represent standard deviation (</w:t>
      </w:r>
      <w:r w:rsidRPr="00DD64A7">
        <w:rPr>
          <w:i/>
          <w:iCs/>
        </w:rPr>
        <w:t>n</w:t>
      </w:r>
      <w:r w:rsidRPr="00DD64A7">
        <w:t xml:space="preserve"> = 3).</w:t>
      </w:r>
    </w:p>
    <w:bookmarkEnd w:id="0"/>
    <w:p w14:paraId="352195D7" w14:textId="2D0C0AAE" w:rsidR="0055465F" w:rsidRPr="00BD3EB9" w:rsidRDefault="0055465F" w:rsidP="00BD3EB9"/>
    <w:sectPr w:rsidR="0055465F" w:rsidRPr="00BD3EB9"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971C8"/>
    <w:multiLevelType w:val="hybridMultilevel"/>
    <w:tmpl w:val="8FC4C19A"/>
    <w:lvl w:ilvl="0" w:tplc="B8E84AF4">
      <w:start w:val="1"/>
      <w:numFmt w:val="bullet"/>
      <w:lvlText w:val="●"/>
      <w:lvlJc w:val="left"/>
      <w:pPr>
        <w:ind w:left="720" w:hanging="360"/>
      </w:pPr>
    </w:lvl>
    <w:lvl w:ilvl="1" w:tplc="E5DA5B5C">
      <w:start w:val="1"/>
      <w:numFmt w:val="bullet"/>
      <w:lvlText w:val="○"/>
      <w:lvlJc w:val="left"/>
      <w:pPr>
        <w:ind w:left="1440" w:hanging="360"/>
      </w:pPr>
    </w:lvl>
    <w:lvl w:ilvl="2" w:tplc="506A4532">
      <w:start w:val="1"/>
      <w:numFmt w:val="bullet"/>
      <w:lvlText w:val="■"/>
      <w:lvlJc w:val="left"/>
      <w:pPr>
        <w:ind w:left="2160" w:hanging="360"/>
      </w:pPr>
    </w:lvl>
    <w:lvl w:ilvl="3" w:tplc="1F6CF854">
      <w:start w:val="1"/>
      <w:numFmt w:val="bullet"/>
      <w:lvlText w:val="●"/>
      <w:lvlJc w:val="left"/>
      <w:pPr>
        <w:ind w:left="2880" w:hanging="360"/>
      </w:pPr>
    </w:lvl>
    <w:lvl w:ilvl="4" w:tplc="70CEF45C">
      <w:start w:val="1"/>
      <w:numFmt w:val="bullet"/>
      <w:lvlText w:val="○"/>
      <w:lvlJc w:val="left"/>
      <w:pPr>
        <w:ind w:left="3600" w:hanging="360"/>
      </w:pPr>
    </w:lvl>
    <w:lvl w:ilvl="5" w:tplc="F306C5B0">
      <w:start w:val="1"/>
      <w:numFmt w:val="bullet"/>
      <w:lvlText w:val="■"/>
      <w:lvlJc w:val="left"/>
      <w:pPr>
        <w:ind w:left="4320" w:hanging="360"/>
      </w:pPr>
    </w:lvl>
    <w:lvl w:ilvl="6" w:tplc="9D9E50E4">
      <w:start w:val="1"/>
      <w:numFmt w:val="bullet"/>
      <w:lvlText w:val="●"/>
      <w:lvlJc w:val="left"/>
      <w:pPr>
        <w:ind w:left="5040" w:hanging="360"/>
      </w:pPr>
    </w:lvl>
    <w:lvl w:ilvl="7" w:tplc="A670BF6C">
      <w:start w:val="1"/>
      <w:numFmt w:val="bullet"/>
      <w:lvlText w:val="●"/>
      <w:lvlJc w:val="left"/>
      <w:pPr>
        <w:ind w:left="5760" w:hanging="360"/>
      </w:pPr>
    </w:lvl>
    <w:lvl w:ilvl="8" w:tplc="109ECD02">
      <w:start w:val="1"/>
      <w:numFmt w:val="bullet"/>
      <w:lvlText w:val="●"/>
      <w:lvlJc w:val="left"/>
      <w:pPr>
        <w:ind w:left="6480" w:hanging="360"/>
      </w:pPr>
    </w:lvl>
  </w:abstractNum>
  <w:num w:numId="1" w16cid:durableId="285353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65F"/>
    <w:rsid w:val="0055465F"/>
    <w:rsid w:val="00AD3034"/>
    <w:rsid w:val="00BD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D006"/>
  <w15:docId w15:val="{2B4714AE-27BA-4A31-8FF3-321CE897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Times New Roman"/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qFormat/>
    <w:rsid w:val="00BD3EB9"/>
    <w:rPr>
      <w:rFonts w:eastAsia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">
    <w:name w:val="Tab"/>
    <w:basedOn w:val="a"/>
    <w:link w:val="Tab0"/>
    <w:qFormat/>
    <w:rsid w:val="00BD3EB9"/>
    <w:pPr>
      <w:spacing w:line="0" w:lineRule="atLeast"/>
    </w:pPr>
    <w:rPr>
      <w:rFonts w:eastAsia="Times New Roman" w:cstheme="majorBidi"/>
      <w:kern w:val="2"/>
      <w:szCs w:val="20"/>
      <w14:ligatures w14:val="standardContextual"/>
    </w:rPr>
  </w:style>
  <w:style w:type="character" w:customStyle="1" w:styleId="Tab0">
    <w:name w:val="Tab Знак"/>
    <w:basedOn w:val="a0"/>
    <w:link w:val="Tab"/>
    <w:qFormat/>
    <w:rsid w:val="00BD3EB9"/>
    <w:rPr>
      <w:rFonts w:eastAsia="Times New Roman" w:cstheme="majorBidi"/>
      <w:kern w:val="2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Яцковский</cp:lastModifiedBy>
  <cp:revision>2</cp:revision>
  <cp:lastPrinted>2026-03-03T10:02:00Z</cp:lastPrinted>
  <dcterms:created xsi:type="dcterms:W3CDTF">2026-03-03T10:07:00Z</dcterms:created>
  <dcterms:modified xsi:type="dcterms:W3CDTF">2026-03-03T10:07:00Z</dcterms:modified>
</cp:coreProperties>
</file>