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B31F" w14:textId="77777777" w:rsidR="00C85E97" w:rsidRDefault="00000000">
      <w:pPr>
        <w:spacing w:after="360"/>
        <w:jc w:val="center"/>
      </w:pPr>
      <w:r>
        <w:rPr>
          <w:rFonts w:eastAsia="Times New Roman"/>
          <w:b/>
          <w:bCs/>
          <w:sz w:val="28"/>
          <w:szCs w:val="28"/>
        </w:rPr>
        <w:t>FEA Analysis and Experiment with Different 3D Graphene/</w:t>
      </w:r>
      <w:proofErr w:type="spellStart"/>
      <w:r>
        <w:rPr>
          <w:rFonts w:eastAsia="Times New Roman"/>
          <w:b/>
          <w:bCs/>
          <w:sz w:val="28"/>
          <w:szCs w:val="28"/>
        </w:rPr>
        <w:t>SiC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Structures</w:t>
      </w:r>
    </w:p>
    <w:p w14:paraId="6F2E6AE6" w14:textId="77777777" w:rsidR="00C85E97" w:rsidRDefault="00000000">
      <w:pPr>
        <w:pStyle w:val="1"/>
      </w:pPr>
      <w:r>
        <w:t>1. Introduction</w:t>
      </w:r>
    </w:p>
    <w:p w14:paraId="62C7F410" w14:textId="77777777" w:rsidR="00C85E97" w:rsidRDefault="00000000">
      <w:pPr>
        <w:spacing w:after="240" w:line="360" w:lineRule="auto"/>
        <w:ind w:firstLine="720"/>
        <w:jc w:val="both"/>
      </w:pPr>
      <w:r>
        <w:rPr>
          <w:rFonts w:eastAsia="Times New Roman"/>
        </w:rPr>
        <w:t>Silicon carbide (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>) is among the most widely studied advanced structural ceramics, combining high hardness, low density, excellent thermal stability, chemical inertness, and competitive electrical properties that make it indispensable in aerospace propulsion, high-temperature structural components, semiconductor processing equipment, and functional electrodes.</w:t>
      </w:r>
      <w:r>
        <w:rPr>
          <w:rFonts w:eastAsia="Times New Roman"/>
          <w:sz w:val="20"/>
          <w:szCs w:val="20"/>
          <w:vertAlign w:val="superscript"/>
        </w:rPr>
        <w:t>[1]</w:t>
      </w:r>
      <w:r>
        <w:rPr>
          <w:rFonts w:eastAsia="Times New Roman"/>
        </w:rPr>
        <w:t xml:space="preserve"> The rapid expansion of additive manufacturing (AM) has opened new pathways for fabricating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>-based components with complex internal geometries inaccessible by conventional powder-pressing or machining routes,</w:t>
      </w:r>
      <w:r>
        <w:rPr>
          <w:rFonts w:eastAsia="Times New Roman"/>
          <w:sz w:val="20"/>
          <w:szCs w:val="20"/>
          <w:vertAlign w:val="superscript"/>
        </w:rPr>
        <w:t>[2,3]</w:t>
      </w:r>
      <w:r>
        <w:rPr>
          <w:rFonts w:eastAsia="Times New Roman"/>
        </w:rPr>
        <w:t xml:space="preserve"> yet the intrinsic brittleness of monolithic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and its limited electrical conductivity — which restricts its use in structural electrodes, resistive heaters, and electromagnetic interference shielding — continue to motivate research into composite reinforcement strategies that simultaneously broaden mechanical reliability and functional performance.</w:t>
      </w:r>
    </w:p>
    <w:p w14:paraId="2BEAE30E" w14:textId="77777777" w:rsidR="00C85E97" w:rsidRDefault="00000000">
      <w:pPr>
        <w:spacing w:after="240" w:line="360" w:lineRule="auto"/>
        <w:ind w:firstLine="720"/>
        <w:jc w:val="both"/>
      </w:pPr>
      <w:r>
        <w:rPr>
          <w:rFonts w:eastAsia="Times New Roman"/>
        </w:rPr>
        <w:t>Graphene, first isolated in 2004,</w:t>
      </w:r>
      <w:r>
        <w:rPr>
          <w:rFonts w:eastAsia="Times New Roman"/>
          <w:sz w:val="20"/>
          <w:szCs w:val="20"/>
          <w:vertAlign w:val="superscript"/>
        </w:rPr>
        <w:t>[4]</w:t>
      </w:r>
      <w:r>
        <w:rPr>
          <w:rFonts w:eastAsia="Times New Roman"/>
        </w:rPr>
        <w:t xml:space="preserve"> possesses a theoretical Young’s modulus of ~1 </w:t>
      </w:r>
      <w:proofErr w:type="spellStart"/>
      <w:r>
        <w:rPr>
          <w:rFonts w:eastAsia="Times New Roman"/>
        </w:rPr>
        <w:t>TPa</w:t>
      </w:r>
      <w:proofErr w:type="spellEnd"/>
      <w:r>
        <w:rPr>
          <w:rFonts w:eastAsia="Times New Roman"/>
        </w:rPr>
        <w:t>, in-plane thermal conductivity exceeding 3000 W·m⁻¹·K⁻¹, and outstanding electron mobility. Incorporating graphene-related materials (GRMs), principally graphene nanoplatelets (GNPs), into ceramic matrices simultaneously improves fracture toughness through crack deflection and bridging while establishing percolated conductive networks.</w:t>
      </w:r>
      <w:r>
        <w:rPr>
          <w:rFonts w:eastAsia="Times New Roman"/>
          <w:sz w:val="20"/>
          <w:szCs w:val="20"/>
          <w:vertAlign w:val="superscript"/>
        </w:rPr>
        <w:t>[5,6,7,8]</w:t>
      </w:r>
      <w:r>
        <w:rPr>
          <w:rFonts w:eastAsia="Times New Roman"/>
        </w:rPr>
        <w:t xml:space="preserve"> In the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matrix, GNP additions raise room-temperature electrical conductivity by up to three orders of magnitude, reaching ~4380 S·m⁻¹ at 20 vol.% GNP in dense bulk specimens consolidated by spark plasma sintering (SPS) — roughly twice the value measured for a </w:t>
      </w:r>
      <w:proofErr w:type="spellStart"/>
      <w:r>
        <w:rPr>
          <w:rFonts w:eastAsia="Times New Roman"/>
        </w:rPr>
        <w:t>robocast</w:t>
      </w:r>
      <w:proofErr w:type="spellEnd"/>
      <w:r>
        <w:rPr>
          <w:rFonts w:eastAsia="Times New Roman"/>
        </w:rPr>
        <w:t xml:space="preserve"> filament of equivalent composition, owing to the ~43 vol.% porosity of the extruded rod.</w:t>
      </w:r>
      <w:r>
        <w:rPr>
          <w:rFonts w:eastAsia="Times New Roman"/>
          <w:sz w:val="20"/>
          <w:szCs w:val="20"/>
          <w:vertAlign w:val="superscript"/>
        </w:rPr>
        <w:t>[9,10]</w:t>
      </w:r>
      <w:r>
        <w:rPr>
          <w:rFonts w:eastAsia="Times New Roman"/>
        </w:rPr>
        <w:t xml:space="preserve"> This intrinsic sensitivity to porosity and microstructure implies that, in DIW-fabricated lattices, macroscopic effective conductivity is governed not only by material composition but also by the architectural parameters of the printed structure.</w:t>
      </w:r>
    </w:p>
    <w:p w14:paraId="6D15505F" w14:textId="77777777" w:rsidR="00C85E97" w:rsidRDefault="00000000">
      <w:pPr>
        <w:spacing w:after="240" w:line="360" w:lineRule="auto"/>
        <w:ind w:firstLine="720"/>
        <w:jc w:val="both"/>
      </w:pPr>
      <w:r>
        <w:rPr>
          <w:rFonts w:eastAsia="Times New Roman"/>
        </w:rPr>
        <w:t>Direct Ink Writing (DIW, or robocasting) enables layer-by-layer extrusion of viscoelastic pastes through a calibrated nozzle along computer-programmed toolpaths, producing three-dimensional lattice structures with parametrically defined topology at room temperature and without high-energy radiation sources.</w:t>
      </w:r>
      <w:r>
        <w:rPr>
          <w:rFonts w:eastAsia="Times New Roman"/>
          <w:sz w:val="20"/>
          <w:szCs w:val="20"/>
          <w:vertAlign w:val="superscript"/>
        </w:rPr>
        <w:t>[11,12]</w:t>
      </w:r>
      <w:r>
        <w:rPr>
          <w:rFonts w:eastAsia="Times New Roman"/>
        </w:rPr>
        <w:t xml:space="preserve"> The technique accommodates a broad spectrum of ceramic systems — including alumina,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>, zirconia, silicon nitride, and ultra-high-temperature ceramics — with solid loadings up to and exceeding 40 vol.%,</w:t>
      </w:r>
      <w:r>
        <w:rPr>
          <w:rFonts w:eastAsia="Times New Roman"/>
          <w:sz w:val="20"/>
          <w:szCs w:val="20"/>
          <w:vertAlign w:val="superscript"/>
        </w:rPr>
        <w:t>[13,14,10]</w:t>
      </w:r>
      <w:r>
        <w:rPr>
          <w:rFonts w:eastAsia="Times New Roman"/>
        </w:rPr>
        <w:t xml:space="preserve"> </w:t>
      </w:r>
      <w:r>
        <w:rPr>
          <w:rFonts w:eastAsia="Times New Roman"/>
        </w:rPr>
        <w:lastRenderedPageBreak/>
        <w:t xml:space="preserve">and </w:t>
      </w:r>
      <w:proofErr w:type="spellStart"/>
      <w:r>
        <w:rPr>
          <w:rFonts w:eastAsia="Times New Roman"/>
        </w:rPr>
        <w:t>standardisation</w:t>
      </w:r>
      <w:proofErr w:type="spellEnd"/>
      <w:r>
        <w:rPr>
          <w:rFonts w:eastAsia="Times New Roman"/>
        </w:rPr>
        <w:t xml:space="preserve"> efforts alongside ink formulation meta-analyses have established empirical printability criteria correlating yield stress and viscosity with successful filament </w:t>
      </w:r>
      <w:proofErr w:type="gramStart"/>
      <w:r>
        <w:rPr>
          <w:rFonts w:eastAsia="Times New Roman"/>
        </w:rPr>
        <w:t>deposition.</w:t>
      </w:r>
      <w:r>
        <w:rPr>
          <w:rFonts w:eastAsia="Times New Roman"/>
          <w:sz w:val="20"/>
          <w:szCs w:val="20"/>
          <w:vertAlign w:val="superscript"/>
        </w:rPr>
        <w:t>[</w:t>
      </w:r>
      <w:proofErr w:type="gramEnd"/>
      <w:r>
        <w:rPr>
          <w:rFonts w:eastAsia="Times New Roman"/>
          <w:sz w:val="20"/>
          <w:szCs w:val="20"/>
          <w:vertAlign w:val="superscript"/>
        </w:rPr>
        <w:t>15,16]</w:t>
      </w:r>
    </w:p>
    <w:p w14:paraId="65B946DE" w14:textId="77777777" w:rsidR="00C85E97" w:rsidRDefault="00000000">
      <w:pPr>
        <w:spacing w:after="240" w:line="360" w:lineRule="auto"/>
        <w:ind w:firstLine="720"/>
        <w:jc w:val="both"/>
      </w:pPr>
      <w:r>
        <w:rPr>
          <w:rFonts w:eastAsia="Times New Roman"/>
        </w:rPr>
        <w:t>DIW-fabricated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composites have demonstrated the potential to combine geometric design freedom with superior electrical performance. Román-Manso et al. reported </w:t>
      </w:r>
      <w:proofErr w:type="spellStart"/>
      <w:r>
        <w:rPr>
          <w:rFonts w:eastAsia="Times New Roman"/>
        </w:rPr>
        <w:t>robocast</w:t>
      </w:r>
      <w:proofErr w:type="spellEnd"/>
      <w:r>
        <w:rPr>
          <w:rFonts w:eastAsia="Times New Roman"/>
        </w:rPr>
        <w:t xml:space="preserve">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scaffolds sintered by SPS with effective conductivities up to 611 S·m⁻¹ and measurable filament-orientation anisotropy,</w:t>
      </w:r>
      <w:r>
        <w:rPr>
          <w:rFonts w:eastAsia="Times New Roman"/>
          <w:sz w:val="20"/>
          <w:szCs w:val="20"/>
          <w:vertAlign w:val="superscript"/>
        </w:rPr>
        <w:t>[10]</w:t>
      </w:r>
      <w:r>
        <w:rPr>
          <w:rFonts w:eastAsia="Times New Roman"/>
        </w:rPr>
        <w:t xml:space="preserve"> while PCS-based DIW inks have enabled graphene/</w:t>
      </w:r>
      <w:proofErr w:type="spellStart"/>
      <w:r>
        <w:rPr>
          <w:rFonts w:eastAsia="Times New Roman"/>
        </w:rPr>
        <w:t>SiCp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lattices with density as low as 1.08 g·cm⁻³ and conductivity of 670 S·m⁻¹.</w:t>
      </w:r>
      <w:r>
        <w:rPr>
          <w:rFonts w:eastAsia="Times New Roman"/>
          <w:sz w:val="20"/>
          <w:szCs w:val="20"/>
          <w:vertAlign w:val="superscript"/>
        </w:rPr>
        <w:t>[17]</w:t>
      </w:r>
      <w:r>
        <w:rPr>
          <w:rFonts w:eastAsia="Times New Roman"/>
        </w:rPr>
        <w:t xml:space="preserve"> Beyond DIW, vat </w:t>
      </w:r>
      <w:proofErr w:type="spellStart"/>
      <w:r>
        <w:rPr>
          <w:rFonts w:eastAsia="Times New Roman"/>
        </w:rPr>
        <w:t>photopolymerisation</w:t>
      </w:r>
      <w:proofErr w:type="spellEnd"/>
      <w:r>
        <w:rPr>
          <w:rFonts w:eastAsia="Times New Roman"/>
        </w:rPr>
        <w:t xml:space="preserve"> of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ceramics incorporating graphene percolation networks has yielded conductivities up to 1000 S·m⁻¹ alongside low thermal conductivity (62–88 mW·m⁻¹·K⁻¹), confirming the broader potential of 3D-printed conductive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for high-temperature electronics.</w:t>
      </w:r>
      <w:r>
        <w:rPr>
          <w:rFonts w:eastAsia="Times New Roman"/>
          <w:sz w:val="20"/>
          <w:szCs w:val="20"/>
          <w:vertAlign w:val="superscript"/>
        </w:rPr>
        <w:t>[18]</w:t>
      </w:r>
      <w:r>
        <w:rPr>
          <w:rFonts w:eastAsia="Times New Roman"/>
        </w:rPr>
        <w:t xml:space="preserve"> In the alumina/GNP system, DIW-printed scaffolds confirm that graphene addition simultaneously boosts compressive strength by up to 80% and quadruples thermal conductivity relative to plain alumina at equivalent porosity, highlighting the multifunctional potential of GRM-reinforced 3D-printed ceramic lattices.</w:t>
      </w:r>
      <w:r>
        <w:rPr>
          <w:rFonts w:eastAsia="Times New Roman"/>
          <w:sz w:val="20"/>
          <w:szCs w:val="20"/>
          <w:vertAlign w:val="superscript"/>
        </w:rPr>
        <w:t>[19]</w:t>
      </w:r>
    </w:p>
    <w:p w14:paraId="0FE0A451" w14:textId="77777777" w:rsidR="00C85E97" w:rsidRDefault="00000000">
      <w:pPr>
        <w:spacing w:after="240" w:line="360" w:lineRule="auto"/>
        <w:ind w:firstLine="720"/>
        <w:jc w:val="both"/>
      </w:pPr>
      <w:r>
        <w:rPr>
          <w:rFonts w:eastAsia="Times New Roman"/>
        </w:rPr>
        <w:t xml:space="preserve">Building on these experimental results, finite element analysis has become essential for </w:t>
      </w:r>
      <w:proofErr w:type="spellStart"/>
      <w:r>
        <w:rPr>
          <w:rFonts w:eastAsia="Times New Roman"/>
        </w:rPr>
        <w:t>rationalising</w:t>
      </w:r>
      <w:proofErr w:type="spellEnd"/>
      <w:r>
        <w:rPr>
          <w:rFonts w:eastAsia="Times New Roman"/>
        </w:rPr>
        <w:t xml:space="preserve"> transport in porous ceramic lattices, where complex internal geometry precludes simple analytical estimates. FEM elastic simulations of </w:t>
      </w:r>
      <w:proofErr w:type="spellStart"/>
      <w:r>
        <w:rPr>
          <w:rFonts w:eastAsia="Times New Roman"/>
        </w:rPr>
        <w:t>robocast</w:t>
      </w:r>
      <w:proofErr w:type="spellEnd"/>
      <w:r>
        <w:rPr>
          <w:rFonts w:eastAsia="Times New Roman"/>
        </w:rPr>
        <w:t xml:space="preserve"> alumina/GNP scaffolds validated against Impulse Excitation Technique and Resonant Ultrasound Spectroscopy confirmed that FEM accurately captures lattice anisotropy arising from the print pattern and coaxial strut configuration.</w:t>
      </w:r>
      <w:r>
        <w:rPr>
          <w:rFonts w:eastAsia="Times New Roman"/>
          <w:sz w:val="20"/>
          <w:szCs w:val="20"/>
          <w:vertAlign w:val="superscript"/>
        </w:rPr>
        <w:t>[20]</w:t>
      </w:r>
      <w:r>
        <w:rPr>
          <w:rFonts w:eastAsia="Times New Roman"/>
        </w:rPr>
        <w:t xml:space="preserve"> FEM of coaxially printed ceramic scaffolds for thermal energy storage further showed that the multi-layered filament architecture controls anisotropic thermal response and enables simultaneous </w:t>
      </w:r>
      <w:proofErr w:type="spellStart"/>
      <w:r>
        <w:rPr>
          <w:rFonts w:eastAsia="Times New Roman"/>
        </w:rPr>
        <w:t>optimisation</w:t>
      </w:r>
      <w:proofErr w:type="spellEnd"/>
      <w:r>
        <w:rPr>
          <w:rFonts w:eastAsia="Times New Roman"/>
        </w:rPr>
        <w:t xml:space="preserve"> of energy storage density and thermal conductivity.</w:t>
      </w:r>
      <w:r>
        <w:rPr>
          <w:rFonts w:eastAsia="Times New Roman"/>
          <w:sz w:val="20"/>
          <w:szCs w:val="20"/>
          <w:vertAlign w:val="superscript"/>
        </w:rPr>
        <w:t>[21]</w:t>
      </w:r>
      <w:r>
        <w:rPr>
          <w:rFonts w:eastAsia="Times New Roman"/>
        </w:rPr>
        <w:t xml:space="preserve"> For highly porous composites (porosity &gt;55%), Monte Carlo equivalent-circuit models reproduce effective electrical conductivity from minimal input parameters and extract microstructural information otherwise inaccessible experimentally.</w:t>
      </w:r>
      <w:r>
        <w:rPr>
          <w:rFonts w:eastAsia="Times New Roman"/>
          <w:sz w:val="20"/>
          <w:szCs w:val="20"/>
          <w:vertAlign w:val="superscript"/>
        </w:rPr>
        <w:t>[22]</w:t>
      </w:r>
      <w:r>
        <w:rPr>
          <w:rFonts w:eastAsia="Times New Roman"/>
        </w:rPr>
        <w:t xml:space="preserve"> Systematic four-probe </w:t>
      </w:r>
      <w:proofErr w:type="spellStart"/>
      <w:r>
        <w:rPr>
          <w:rFonts w:eastAsia="Times New Roman"/>
        </w:rPr>
        <w:t>characterisation</w:t>
      </w:r>
      <w:proofErr w:type="spellEnd"/>
      <w:r>
        <w:rPr>
          <w:rFonts w:eastAsia="Times New Roman"/>
        </w:rPr>
        <w:t xml:space="preserve"> of extrusion-printed graphene structures confirms that macroscopic conductivity depends not only on percolation and graphene content but also on inter-filament contact quality and printing architecture,</w:t>
      </w:r>
      <w:r>
        <w:rPr>
          <w:rFonts w:eastAsia="Times New Roman"/>
          <w:sz w:val="20"/>
          <w:szCs w:val="20"/>
          <w:vertAlign w:val="superscript"/>
        </w:rPr>
        <w:t>[23,24]</w:t>
      </w:r>
      <w:r>
        <w:rPr>
          <w:rFonts w:eastAsia="Times New Roman"/>
        </w:rPr>
        <w:t xml:space="preserve"> establishing lattice topology as an independent design variable for electrical transport. Initial FEM modelling of </w:t>
      </w:r>
      <w:proofErr w:type="spellStart"/>
      <w:r>
        <w:rPr>
          <w:rFonts w:eastAsia="Times New Roman"/>
        </w:rPr>
        <w:t>robocast</w:t>
      </w:r>
      <w:proofErr w:type="spellEnd"/>
      <w:r>
        <w:rPr>
          <w:rFonts w:eastAsia="Times New Roman"/>
        </w:rPr>
        <w:t xml:space="preserve">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scaffolds reproduced the conductivity trend with GNP fraction and identified interlayer contact geometry and current-path tortuosity as the primary architectural parameters governing </w:t>
      </w:r>
      <w:r>
        <w:rPr>
          <w:rFonts w:eastAsia="Times New Roman"/>
        </w:rPr>
        <w:lastRenderedPageBreak/>
        <w:t xml:space="preserve">macroscopic </w:t>
      </w:r>
      <w:proofErr w:type="spellStart"/>
      <w:r>
        <w:rPr>
          <w:rFonts w:eastAsia="Times New Roman"/>
        </w:rPr>
        <w:t>σ</w:t>
      </w:r>
      <w:proofErr w:type="gramStart"/>
      <w:r>
        <w:rPr>
          <w:rFonts w:eastAsia="Times New Roman"/>
          <w:sz w:val="20"/>
          <w:szCs w:val="20"/>
          <w:vertAlign w:val="subscript"/>
        </w:rPr>
        <w:t>eff</w:t>
      </w:r>
      <w:proofErr w:type="spellEnd"/>
      <w:r>
        <w:rPr>
          <w:rFonts w:eastAsia="Times New Roman"/>
        </w:rPr>
        <w:t>.</w:t>
      </w:r>
      <w:r>
        <w:rPr>
          <w:rFonts w:eastAsia="Times New Roman"/>
          <w:sz w:val="20"/>
          <w:szCs w:val="20"/>
          <w:vertAlign w:val="superscript"/>
        </w:rPr>
        <w:t>[</w:t>
      </w:r>
      <w:proofErr w:type="gramEnd"/>
      <w:r>
        <w:rPr>
          <w:rFonts w:eastAsia="Times New Roman"/>
          <w:sz w:val="20"/>
          <w:szCs w:val="20"/>
          <w:vertAlign w:val="superscript"/>
        </w:rPr>
        <w:t>10]</w:t>
      </w:r>
    </w:p>
    <w:p w14:paraId="380C7FF5" w14:textId="77777777" w:rsidR="00C85E97" w:rsidRDefault="00000000">
      <w:pPr>
        <w:spacing w:after="240" w:line="360" w:lineRule="auto"/>
        <w:ind w:firstLine="720"/>
        <w:jc w:val="both"/>
      </w:pPr>
      <w:r>
        <w:rPr>
          <w:rFonts w:eastAsia="Times New Roman"/>
        </w:rPr>
        <w:t xml:space="preserve">PCS-derived DIW systems are particularly well-suited for topology-dependent conductivity studies because pyrolytic conversion preserves the designed </w:t>
      </w:r>
      <w:proofErr w:type="spellStart"/>
      <w:r>
        <w:rPr>
          <w:rFonts w:eastAsia="Times New Roman"/>
        </w:rPr>
        <w:t>macroporous</w:t>
      </w:r>
      <w:proofErr w:type="spellEnd"/>
      <w:r>
        <w:rPr>
          <w:rFonts w:eastAsia="Times New Roman"/>
        </w:rPr>
        <w:t xml:space="preserve"> topology while yielding electrically continuous 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composite struts, enabling independent variation of strut composition and lattice architecture.</w:t>
      </w:r>
      <w:r>
        <w:rPr>
          <w:rFonts w:eastAsia="Times New Roman"/>
          <w:sz w:val="20"/>
          <w:szCs w:val="20"/>
          <w:vertAlign w:val="superscript"/>
        </w:rPr>
        <w:t>[25,26]</w:t>
      </w:r>
      <w:r>
        <w:rPr>
          <w:rFonts w:eastAsia="Times New Roman"/>
        </w:rPr>
        <w:t xml:space="preserve"> The maturity of the broader DIW/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composite platform has been demonstrated across a range of material systems,</w:t>
      </w:r>
      <w:r>
        <w:rPr>
          <w:rFonts w:eastAsia="Times New Roman"/>
          <w:sz w:val="20"/>
          <w:szCs w:val="20"/>
          <w:vertAlign w:val="superscript"/>
        </w:rPr>
        <w:t>[27,28,29,30]</w:t>
      </w:r>
      <w:r>
        <w:rPr>
          <w:rFonts w:eastAsia="Times New Roman"/>
        </w:rPr>
        <w:t xml:space="preserve"> yet topology-dependent electrical conductivity and its quantitative FEM prediction remain unaddressed.</w:t>
      </w:r>
    </w:p>
    <w:p w14:paraId="5295AD40" w14:textId="77777777" w:rsidR="00C85E97" w:rsidRDefault="00000000">
      <w:pPr>
        <w:spacing w:after="240" w:line="360" w:lineRule="auto"/>
        <w:ind w:firstLine="720"/>
        <w:jc w:val="both"/>
      </w:pPr>
      <w:r>
        <w:rPr>
          <w:rFonts w:eastAsia="Times New Roman"/>
        </w:rPr>
        <w:t>Despite this body of work, three key questions remain open. First, no study has systematically compared how different in-plane filament arrangements — orthogonal cross-ply (Scaffold), diamond-pattern meander (Grid), and hexagonal zig-zag (Honeycomb) — affect the effective electrical conductivity of DIW-printed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lattices at constant composition and comparable solid volume. Second, DC conduction FEM simulations of topology-controlled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lattices with experimentally calibrated intrinsic strut conductivity have not been reported, leaving the separate contributions of interlayer contact area, filament–field alignment, and current-path tortuosity to macroscopic </w:t>
      </w:r>
      <w:proofErr w:type="spellStart"/>
      <w:r>
        <w:rPr>
          <w:rFonts w:eastAsia="Times New Roman"/>
        </w:rPr>
        <w:t>σ</w:t>
      </w:r>
      <w:r>
        <w:rPr>
          <w:rFonts w:eastAsia="Times New Roman"/>
          <w:sz w:val="20"/>
          <w:szCs w:val="20"/>
          <w:vertAlign w:val="subscript"/>
        </w:rPr>
        <w:t>eff</w:t>
      </w:r>
      <w:proofErr w:type="spellEnd"/>
      <w:r>
        <w:rPr>
          <w:rFonts w:eastAsia="Times New Roman"/>
        </w:rPr>
        <w:t xml:space="preserve"> unresolved. Third, the architecture-dependent dissipation mechanisms — whether dominated by contact resistance at filament junctions, current-path tortuosity, or field misalignment — that cause systematic offsets between FEM predictions and measured conductivity in DIW-fabricated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lattices have not been identified.</w:t>
      </w:r>
    </w:p>
    <w:p w14:paraId="1F2B4852" w14:textId="68F41B9E" w:rsidR="00C85E97" w:rsidRDefault="00000000" w:rsidP="00C91E23">
      <w:pPr>
        <w:spacing w:after="240" w:line="360" w:lineRule="auto"/>
        <w:ind w:firstLine="720"/>
        <w:jc w:val="both"/>
      </w:pPr>
      <w:r>
        <w:rPr>
          <w:rFonts w:eastAsia="Times New Roman"/>
        </w:rPr>
        <w:t>The present work addresses these gaps. Three topology-controlled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lattice architectures — </w:t>
      </w:r>
      <w:r>
        <w:rPr>
          <w:rFonts w:eastAsia="Times New Roman"/>
          <w:b/>
          <w:bCs/>
        </w:rPr>
        <w:t>Scaffold</w:t>
      </w:r>
      <w:r>
        <w:rPr>
          <w:rFonts w:eastAsia="Times New Roman"/>
        </w:rPr>
        <w:t xml:space="preserve">, </w:t>
      </w:r>
      <w:r>
        <w:rPr>
          <w:rFonts w:eastAsia="Times New Roman"/>
          <w:b/>
          <w:bCs/>
        </w:rPr>
        <w:t>Grid</w:t>
      </w:r>
      <w:r>
        <w:rPr>
          <w:rFonts w:eastAsia="Times New Roman"/>
        </w:rPr>
        <w:t xml:space="preserve">, and </w:t>
      </w:r>
      <w:r>
        <w:rPr>
          <w:rFonts w:eastAsia="Times New Roman"/>
          <w:b/>
          <w:bCs/>
        </w:rPr>
        <w:t>Honeycomb</w:t>
      </w:r>
      <w:r>
        <w:rPr>
          <w:rFonts w:eastAsia="Times New Roman"/>
        </w:rPr>
        <w:t xml:space="preserve"> — were designed with identical filament diameter and comparable solid volumes, fabricated by DIW from a PCS-based graphene/</w:t>
      </w:r>
      <w:proofErr w:type="spellStart"/>
      <w:r>
        <w:rPr>
          <w:rFonts w:eastAsia="Times New Roman"/>
        </w:rPr>
        <w:t>SiC</w:t>
      </w:r>
      <w:proofErr w:type="spellEnd"/>
      <w:r>
        <w:rPr>
          <w:rFonts w:eastAsia="Times New Roman"/>
        </w:rPr>
        <w:t xml:space="preserve"> paste, and sintered at 1300°C via preceramic polymer pyrolysis. Effective electrical conductivity was evaluated by: (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) steady-state DC conduction FEM in ANSYS Maxwell 3D, using the intrinsic conductivity of the composite measured by four-wire DC </w:t>
      </w:r>
      <w:proofErr w:type="spellStart"/>
      <w:r>
        <w:rPr>
          <w:rFonts w:eastAsia="Times New Roman"/>
        </w:rPr>
        <w:t>characterisation</w:t>
      </w:r>
      <w:proofErr w:type="spellEnd"/>
      <w:r>
        <w:rPr>
          <w:rFonts w:eastAsia="Times New Roman"/>
        </w:rPr>
        <w:t xml:space="preserve"> of calibration filaments from the same feedstock; and (ii) four-probe DC resistance measurements on three independently fabricated specimens per architecture. The topology-dependent current-density vector (J-vector) distributions from FEM are </w:t>
      </w:r>
      <w:proofErr w:type="spellStart"/>
      <w:r>
        <w:rPr>
          <w:rFonts w:eastAsia="Times New Roman"/>
        </w:rPr>
        <w:t>analysed</w:t>
      </w:r>
      <w:proofErr w:type="spellEnd"/>
      <w:r>
        <w:rPr>
          <w:rFonts w:eastAsia="Times New Roman"/>
        </w:rPr>
        <w:t xml:space="preserve"> to identify the structural origins of the conductivity ranking — with emphasis on interlayer contact area </w:t>
      </w:r>
      <w:proofErr w:type="spellStart"/>
      <w:r>
        <w:rPr>
          <w:rFonts w:eastAsia="Times New Roman"/>
        </w:rPr>
        <w:t>A</w:t>
      </w:r>
      <w:r>
        <w:rPr>
          <w:rFonts w:eastAsia="Times New Roman"/>
          <w:sz w:val="20"/>
          <w:szCs w:val="20"/>
          <w:vertAlign w:val="subscript"/>
        </w:rPr>
        <w:t>int</w:t>
      </w:r>
      <w:proofErr w:type="spellEnd"/>
      <w:r>
        <w:rPr>
          <w:rFonts w:eastAsia="Times New Roman"/>
        </w:rPr>
        <w:t>, filament orientation relative to the electric field, and local current-path tortuosity — and the FEM–experiment agreement is assessed to identify architecture-dependent dissipation mechanisms.</w:t>
      </w:r>
    </w:p>
    <w:sectPr w:rsidR="00C85E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225"/>
    <w:multiLevelType w:val="hybridMultilevel"/>
    <w:tmpl w:val="0784D576"/>
    <w:lvl w:ilvl="0" w:tplc="930A6AF8">
      <w:start w:val="1"/>
      <w:numFmt w:val="bullet"/>
      <w:lvlText w:val="●"/>
      <w:lvlJc w:val="left"/>
      <w:pPr>
        <w:ind w:left="720" w:hanging="360"/>
      </w:pPr>
    </w:lvl>
    <w:lvl w:ilvl="1" w:tplc="4E4AFE32">
      <w:start w:val="1"/>
      <w:numFmt w:val="bullet"/>
      <w:lvlText w:val="○"/>
      <w:lvlJc w:val="left"/>
      <w:pPr>
        <w:ind w:left="1440" w:hanging="360"/>
      </w:pPr>
    </w:lvl>
    <w:lvl w:ilvl="2" w:tplc="8F12337C">
      <w:start w:val="1"/>
      <w:numFmt w:val="bullet"/>
      <w:lvlText w:val="■"/>
      <w:lvlJc w:val="left"/>
      <w:pPr>
        <w:ind w:left="2160" w:hanging="360"/>
      </w:pPr>
    </w:lvl>
    <w:lvl w:ilvl="3" w:tplc="80802FB0">
      <w:start w:val="1"/>
      <w:numFmt w:val="bullet"/>
      <w:lvlText w:val="●"/>
      <w:lvlJc w:val="left"/>
      <w:pPr>
        <w:ind w:left="2880" w:hanging="360"/>
      </w:pPr>
    </w:lvl>
    <w:lvl w:ilvl="4" w:tplc="E028E7A0">
      <w:start w:val="1"/>
      <w:numFmt w:val="bullet"/>
      <w:lvlText w:val="○"/>
      <w:lvlJc w:val="left"/>
      <w:pPr>
        <w:ind w:left="3600" w:hanging="360"/>
      </w:pPr>
    </w:lvl>
    <w:lvl w:ilvl="5" w:tplc="9F785F54">
      <w:start w:val="1"/>
      <w:numFmt w:val="bullet"/>
      <w:lvlText w:val="■"/>
      <w:lvlJc w:val="left"/>
      <w:pPr>
        <w:ind w:left="4320" w:hanging="360"/>
      </w:pPr>
    </w:lvl>
    <w:lvl w:ilvl="6" w:tplc="8C589944">
      <w:start w:val="1"/>
      <w:numFmt w:val="bullet"/>
      <w:lvlText w:val="●"/>
      <w:lvlJc w:val="left"/>
      <w:pPr>
        <w:ind w:left="5040" w:hanging="360"/>
      </w:pPr>
    </w:lvl>
    <w:lvl w:ilvl="7" w:tplc="51521B56">
      <w:start w:val="1"/>
      <w:numFmt w:val="bullet"/>
      <w:lvlText w:val="●"/>
      <w:lvlJc w:val="left"/>
      <w:pPr>
        <w:ind w:left="5760" w:hanging="360"/>
      </w:pPr>
    </w:lvl>
    <w:lvl w:ilvl="8" w:tplc="F78C7092">
      <w:start w:val="1"/>
      <w:numFmt w:val="bullet"/>
      <w:lvlText w:val="●"/>
      <w:lvlJc w:val="left"/>
      <w:pPr>
        <w:ind w:left="6480" w:hanging="360"/>
      </w:pPr>
    </w:lvl>
  </w:abstractNum>
  <w:num w:numId="1" w16cid:durableId="2068843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97"/>
    <w:rsid w:val="00211185"/>
    <w:rsid w:val="00C85E97"/>
    <w:rsid w:val="00C9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59FB"/>
  <w15:docId w15:val="{8680133A-1D19-47B0-A7DD-B46389FF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Times New Roman"/>
      <w:b/>
      <w:bCs/>
      <w:color w:val="000000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1206</Words>
  <Characters>6879</Characters>
  <Application>Microsoft Office Word</Application>
  <DocSecurity>0</DocSecurity>
  <Lines>57</Lines>
  <Paragraphs>16</Paragraphs>
  <ScaleCrop>false</ScaleCrop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Дмитрий Яцковский</cp:lastModifiedBy>
  <cp:revision>2</cp:revision>
  <dcterms:created xsi:type="dcterms:W3CDTF">2026-03-05T08:51:00Z</dcterms:created>
  <dcterms:modified xsi:type="dcterms:W3CDTF">2026-03-06T03:33:00Z</dcterms:modified>
</cp:coreProperties>
</file>