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fldChar w:fldCharType="begin"/>
      </w:r>
      <w:r>
        <w:instrText xml:space="preserve"> ADDIN ZOTERO_PREF {"dataVersion": 4, "zoteroVersion": "7.0", "prefUpdateDelay": 3000, "_versionchanged": false, "_needsRefresh": false} </w:instrText>
      </w:r>
      <w:r>
        <w:fldChar w:fldCharType="separate"/>
      </w:r>
      <w:r>
        <w:t/>
      </w:r>
      <w:r>
        <w:fldChar w:fldCharType="end"/>
      </w:r>
    </w:p>
    <w:p w14:paraId="25570F89" w14:textId="77777777" w:rsidR="00D0274F" w:rsidRDefault="00000000">
      <w:pPr>
        <w:pStyle w:val="1"/>
      </w:pPr>
      <w:r>
        <w:t>4. Discussion</w:t>
      </w:r>
    </w:p>
    <w:p w14:paraId="17FBD476" w14:textId="77777777" w:rsidR="00D0274F" w:rsidRDefault="00000000">
      <w:pPr>
        <w:pStyle w:val="2"/>
      </w:pPr>
      <w:r>
        <w:t>4.1. FEM–experiment correlation</w:t>
      </w:r>
    </w:p>
    <w:p w14:paraId="3312769A" w14:textId="77777777" w:rsidR="00D0274F" w:rsidRDefault="00000000">
      <w:pPr>
        <w:spacing w:after="120" w:line="360" w:lineRule="auto"/>
        <w:ind w:firstLine="360"/>
        <w:jc w:val="both"/>
      </w:pPr>
      <w:r>
        <w:rPr>
          <w:rFonts w:eastAsia="Times New Roman"/>
        </w:rPr>
        <w:t xml:space="preserve">Both FEM and experiment yield an identical architecture-dependent ranking of effective electrical conductivity: </w:t>
      </w:r>
      <w:proofErr w:type="spellStart"/>
      <w:r>
        <w:rPr>
          <w:rFonts w:eastAsia="Times New Roman"/>
        </w:rPr>
        <w:t>σ</w:t>
      </w:r>
      <w:proofErr w:type="gramStart"/>
      <w:r>
        <w:rPr>
          <w:rFonts w:eastAsia="Times New Roman"/>
          <w:vertAlign w:val="subscript"/>
        </w:rPr>
        <w:t>eff,Grid</w:t>
      </w:r>
      <w:proofErr w:type="spellEnd"/>
      <w:proofErr w:type="gramEnd"/>
      <w:r>
        <w:rPr>
          <w:rFonts w:eastAsia="Times New Roman"/>
        </w:rPr>
        <w:t xml:space="preserve"> &lt; </w:t>
      </w:r>
      <w:proofErr w:type="spellStart"/>
      <w:r>
        <w:rPr>
          <w:rFonts w:eastAsia="Times New Roman"/>
        </w:rPr>
        <w:t>σ</w:t>
      </w:r>
      <w:proofErr w:type="gramStart"/>
      <w:r>
        <w:rPr>
          <w:rFonts w:eastAsia="Times New Roman"/>
          <w:vertAlign w:val="subscript"/>
        </w:rPr>
        <w:t>eff,Scaffold</w:t>
      </w:r>
      <w:proofErr w:type="spellEnd"/>
      <w:proofErr w:type="gramEnd"/>
      <w:r>
        <w:rPr>
          <w:rFonts w:eastAsia="Times New Roman"/>
        </w:rPr>
        <w:t xml:space="preserve"> &lt; </w:t>
      </w:r>
      <w:proofErr w:type="spellStart"/>
      <w:r>
        <w:rPr>
          <w:rFonts w:eastAsia="Times New Roman"/>
        </w:rPr>
        <w:t>σ</w:t>
      </w:r>
      <w:proofErr w:type="gramStart"/>
      <w:r>
        <w:rPr>
          <w:rFonts w:eastAsia="Times New Roman"/>
          <w:vertAlign w:val="subscript"/>
        </w:rPr>
        <w:t>eff,Honeycomb</w:t>
      </w:r>
      <w:proofErr w:type="spellEnd"/>
      <w:proofErr w:type="gramEnd"/>
      <w:r>
        <w:rPr>
          <w:rFonts w:eastAsia="Times New Roman"/>
        </w:rPr>
        <w:t xml:space="preserve"> (Tables 1 and 2). The FEM-predicted values are 10.780, 12.109, and 12.943 S/m, while the measured values are 6.240 ± 0.095, 9.916 ± 0.314, and 10.869 ± 0.250 S/m, respectively. The preservation of this ranking confirms that the differences in electrical transport originate from the lattice topology and interlayer connectivity, not from stochastic fabrication variability.</w:t>
      </w:r>
    </w:p>
    <w:p w14:paraId="665CD393" w14:textId="77777777" w:rsidR="00D0274F" w:rsidRDefault="00000000">
      <w:pPr>
        <w:spacing w:after="120" w:line="360" w:lineRule="auto"/>
        <w:ind w:firstLine="360"/>
        <w:jc w:val="both"/>
      </w:pPr>
      <w:r>
        <w:rPr>
          <w:rFonts w:eastAsia="Times New Roman"/>
        </w:rPr>
        <w:t xml:space="preserve">The experimental </w:t>
      </w:r>
      <w:proofErr w:type="spellStart"/>
      <w:r>
        <w:rPr>
          <w:rFonts w:eastAsia="Times New Roman"/>
        </w:rPr>
        <w:t>σ</w:t>
      </w:r>
      <w:r>
        <w:rPr>
          <w:rFonts w:eastAsia="Times New Roman"/>
          <w:vertAlign w:val="subscript"/>
        </w:rPr>
        <w:t>eff</w:t>
      </w:r>
      <w:proofErr w:type="spellEnd"/>
      <w:r>
        <w:rPr>
          <w:rFonts w:eastAsia="Times New Roman"/>
        </w:rPr>
        <w:t xml:space="preserve"> values are systematically lower than the FEM predictions by a factor of 1.19–1.73. This offset is consistent with dissipation mechanisms absent in the </w:t>
      </w:r>
      <w:proofErr w:type="spellStart"/>
      <w:r>
        <w:rPr>
          <w:rFonts w:eastAsia="Times New Roman"/>
        </w:rPr>
        <w:t>idealised</w:t>
      </w:r>
      <w:proofErr w:type="spellEnd"/>
      <w:r>
        <w:rPr>
          <w:rFonts w:eastAsia="Times New Roman"/>
        </w:rPr>
        <w:t xml:space="preserve"> FEM model: (</w:t>
      </w:r>
      <w:proofErr w:type="spellStart"/>
      <w:r>
        <w:rPr>
          <w:rFonts w:eastAsia="Times New Roman"/>
        </w:rPr>
        <w:t>i</w:t>
      </w:r>
      <w:proofErr w:type="spellEnd"/>
      <w:r>
        <w:rPr>
          <w:rFonts w:eastAsia="Times New Roman"/>
        </w:rPr>
        <w:t>) finite interlayer contact resistance at incompletely sintered filament–filament junctions, (ii) residual porosity and local heterogeneity in graphene–</w:t>
      </w:r>
      <w:proofErr w:type="spellStart"/>
      <w:r>
        <w:rPr>
          <w:rFonts w:eastAsia="Times New Roman"/>
        </w:rPr>
        <w:t>SiC</w:t>
      </w:r>
      <w:proofErr w:type="spellEnd"/>
      <w:r>
        <w:rPr>
          <w:rFonts w:eastAsia="Times New Roman"/>
        </w:rPr>
        <w:t xml:space="preserve"> phase distribution, and (iii) dimensional deviations from the nominal CAD geometry caused by drying shrinkage and sintering densification. The discrepancy is architecture-dependent: </w:t>
      </w:r>
      <w:proofErr w:type="spellStart"/>
      <w:r>
        <w:rPr>
          <w:rFonts w:eastAsia="Times New Roman"/>
        </w:rPr>
        <w:t>σ</w:t>
      </w:r>
      <w:proofErr w:type="gramStart"/>
      <w:r>
        <w:rPr>
          <w:rFonts w:eastAsia="Times New Roman"/>
          <w:vertAlign w:val="subscript"/>
        </w:rPr>
        <w:t>eff,FEM</w:t>
      </w:r>
      <w:proofErr w:type="spellEnd"/>
      <w:proofErr w:type="gramEnd"/>
      <w:r>
        <w:rPr>
          <w:rFonts w:eastAsia="Times New Roman"/>
        </w:rPr>
        <w:t>/</w:t>
      </w:r>
      <w:proofErr w:type="spellStart"/>
      <w:r>
        <w:rPr>
          <w:rFonts w:eastAsia="Times New Roman"/>
        </w:rPr>
        <w:t>σ</w:t>
      </w:r>
      <w:proofErr w:type="gramStart"/>
      <w:r>
        <w:rPr>
          <w:rFonts w:eastAsia="Times New Roman"/>
          <w:vertAlign w:val="subscript"/>
        </w:rPr>
        <w:t>eff,exp</w:t>
      </w:r>
      <w:proofErr w:type="spellEnd"/>
      <w:proofErr w:type="gramEnd"/>
      <w:r>
        <w:rPr>
          <w:rFonts w:eastAsia="Times New Roman"/>
        </w:rPr>
        <w:t xml:space="preserve"> = 1.73 for Grid, 1.22 for Scaffold, and 1.19 for Honeycomb. The larger offset for Grid is attributed to the high density of in-plane turning points in the meander toolpath, where abrupt filament direction changes are prone to local over- or under-extrusion during DIW, amplifying geometric deviations in the sintered specimen. The Scaffold and Honeycomb toolpaths contain longer straight-run segments with fewer turns, yielding better geometric fidelity and smaller FEM–experiment offsets.</w:t>
      </w:r>
    </w:p>
    <w:p w14:paraId="122DA23F" w14:textId="77777777" w:rsidR="00D0274F" w:rsidRDefault="00000000">
      <w:pPr>
        <w:pStyle w:val="2"/>
      </w:pPr>
      <w:r>
        <w:t>4.2. Solid volume, interlayer contact area, and topology effects</w:t>
      </w:r>
    </w:p>
    <w:p w14:paraId="7BB5F751" w14:textId="77777777" w:rsidR="00D0274F" w:rsidRDefault="00000000">
      <w:pPr>
        <w:spacing w:after="120" w:line="360" w:lineRule="auto"/>
        <w:ind w:firstLine="360"/>
        <w:jc w:val="both"/>
      </w:pPr>
      <w:r>
        <w:rPr>
          <w:rFonts w:eastAsia="Times New Roman"/>
        </w:rPr>
        <w:t xml:space="preserve">The three models were designed with comparable solid volumes within the same specimen envelope: </w:t>
      </w:r>
      <w:proofErr w:type="spellStart"/>
      <w:r>
        <w:rPr>
          <w:rFonts w:eastAsia="Times New Roman"/>
        </w:rPr>
        <w:t>V</w:t>
      </w:r>
      <w:r>
        <w:rPr>
          <w:rFonts w:eastAsia="Times New Roman"/>
          <w:vertAlign w:val="subscript"/>
        </w:rPr>
        <w:t>Grid</w:t>
      </w:r>
      <w:proofErr w:type="spellEnd"/>
      <w:r>
        <w:rPr>
          <w:rFonts w:eastAsia="Times New Roman"/>
        </w:rPr>
        <w:t xml:space="preserve"> = 467.206 mm³, </w:t>
      </w:r>
      <w:proofErr w:type="spellStart"/>
      <w:r>
        <w:rPr>
          <w:rFonts w:eastAsia="Times New Roman"/>
        </w:rPr>
        <w:t>V</w:t>
      </w:r>
      <w:r>
        <w:rPr>
          <w:rFonts w:eastAsia="Times New Roman"/>
          <w:vertAlign w:val="subscript"/>
        </w:rPr>
        <w:t>Scaffold</w:t>
      </w:r>
      <w:proofErr w:type="spellEnd"/>
      <w:r>
        <w:rPr>
          <w:rFonts w:eastAsia="Times New Roman"/>
        </w:rPr>
        <w:t xml:space="preserve"> = </w:t>
      </w:r>
      <w:proofErr w:type="spellStart"/>
      <w:r>
        <w:rPr>
          <w:rFonts w:eastAsia="Times New Roman"/>
        </w:rPr>
        <w:t>V</w:t>
      </w:r>
      <w:r>
        <w:rPr>
          <w:rFonts w:eastAsia="Times New Roman"/>
          <w:vertAlign w:val="subscript"/>
        </w:rPr>
        <w:t>Honeycomb</w:t>
      </w:r>
      <w:proofErr w:type="spellEnd"/>
      <w:r>
        <w:rPr>
          <w:rFonts w:eastAsia="Times New Roman"/>
        </w:rPr>
        <w:t xml:space="preserve"> = 443.748 mm³. The Grid contains 5.3% more conductive material than the Scaffold and Honeycomb. For a homogeneous conductor (R = L/</w:t>
      </w:r>
      <w:proofErr w:type="spellStart"/>
      <w:r>
        <w:rPr>
          <w:rFonts w:eastAsia="Times New Roman"/>
        </w:rPr>
        <w:t>σA</w:t>
      </w:r>
      <w:proofErr w:type="spellEnd"/>
      <w:r>
        <w:rPr>
          <w:rFonts w:eastAsia="Times New Roman"/>
        </w:rPr>
        <w:t xml:space="preserve">), a larger conductive volume at fixed dimensions should reduce resistance. However, the Grid exhibits the highest R (FEM: 15.385 Ω; exp: 34.983 Ω) and the lowest </w:t>
      </w:r>
      <w:proofErr w:type="spellStart"/>
      <w:r>
        <w:rPr>
          <w:rFonts w:eastAsia="Times New Roman"/>
        </w:rPr>
        <w:t>σ</w:t>
      </w:r>
      <w:r>
        <w:rPr>
          <w:rFonts w:eastAsia="Times New Roman"/>
          <w:vertAlign w:val="subscript"/>
        </w:rPr>
        <w:t>eff</w:t>
      </w:r>
      <w:proofErr w:type="spellEnd"/>
      <w:r>
        <w:rPr>
          <w:rFonts w:eastAsia="Times New Roman"/>
        </w:rPr>
        <w:t xml:space="preserve">. If volume were the dominant factor, the Grid should show </w:t>
      </w:r>
      <w:proofErr w:type="spellStart"/>
      <w:r>
        <w:rPr>
          <w:rFonts w:eastAsia="Times New Roman"/>
        </w:rPr>
        <w:t>σ</w:t>
      </w:r>
      <w:r>
        <w:rPr>
          <w:rFonts w:eastAsia="Times New Roman"/>
          <w:vertAlign w:val="subscript"/>
        </w:rPr>
        <w:t>eff</w:t>
      </w:r>
      <w:proofErr w:type="spellEnd"/>
      <w:r>
        <w:rPr>
          <w:rFonts w:eastAsia="Times New Roman"/>
        </w:rPr>
        <w:t xml:space="preserve"> ∼5% higher than the Scaffold; instead, </w:t>
      </w:r>
      <w:proofErr w:type="spellStart"/>
      <w:r>
        <w:rPr>
          <w:rFonts w:eastAsia="Times New Roman"/>
        </w:rPr>
        <w:t>σ</w:t>
      </w:r>
      <w:proofErr w:type="gramStart"/>
      <w:r>
        <w:rPr>
          <w:rFonts w:eastAsia="Times New Roman"/>
          <w:vertAlign w:val="subscript"/>
        </w:rPr>
        <w:t>eff,Grid</w:t>
      </w:r>
      <w:proofErr w:type="spellEnd"/>
      <w:proofErr w:type="gramEnd"/>
      <w:r>
        <w:rPr>
          <w:rFonts w:eastAsia="Times New Roman"/>
        </w:rPr>
        <w:t xml:space="preserve"> is 11% lower in FEM and 37% lower experimentally. This quantitative deficit demonstrates that the structural architecture—specifically, current-path tortuosity and interlayer contact geometry—exerts a stronger influence on </w:t>
      </w:r>
      <w:proofErr w:type="spellStart"/>
      <w:r>
        <w:rPr>
          <w:rFonts w:eastAsia="Times New Roman"/>
        </w:rPr>
        <w:t>σ</w:t>
      </w:r>
      <w:r>
        <w:rPr>
          <w:rFonts w:eastAsia="Times New Roman"/>
          <w:vertAlign w:val="subscript"/>
        </w:rPr>
        <w:t>eff</w:t>
      </w:r>
      <w:proofErr w:type="spellEnd"/>
      <w:r>
        <w:rPr>
          <w:rFonts w:eastAsia="Times New Roman"/>
        </w:rPr>
        <w:t xml:space="preserve"> than moderate variations in material loading.</w:t>
      </w:r>
    </w:p>
    <w:p w14:paraId="0EDDD39E" w14:textId="77777777" w:rsidR="00D0274F" w:rsidRDefault="00000000">
      <w:pPr>
        <w:spacing w:after="120" w:line="360" w:lineRule="auto"/>
        <w:ind w:firstLine="360"/>
        <w:jc w:val="both"/>
      </w:pPr>
      <w:r>
        <w:rPr>
          <w:rFonts w:eastAsia="Times New Roman"/>
        </w:rPr>
        <w:lastRenderedPageBreak/>
        <w:t xml:space="preserve">The interlayer contact area </w:t>
      </w:r>
      <w:proofErr w:type="spellStart"/>
      <w:r>
        <w:rPr>
          <w:rFonts w:eastAsia="Times New Roman"/>
        </w:rPr>
        <w:t>A</w:t>
      </w:r>
      <w:r>
        <w:rPr>
          <w:rFonts w:eastAsia="Times New Roman"/>
          <w:vertAlign w:val="subscript"/>
        </w:rPr>
        <w:t>int</w:t>
      </w:r>
      <w:proofErr w:type="spellEnd"/>
      <w:r>
        <w:rPr>
          <w:rFonts w:eastAsia="Times New Roman"/>
        </w:rPr>
        <w:t xml:space="preserve"> at individual filament crossings quantifies the geometric bottleneck for through-thickness current transfer. For Scaffold and Grid (</w:t>
      </w:r>
      <w:proofErr w:type="spellStart"/>
      <w:r>
        <w:rPr>
          <w:rFonts w:eastAsia="Times New Roman"/>
        </w:rPr>
        <w:t>θ</w:t>
      </w:r>
      <w:r>
        <w:rPr>
          <w:rFonts w:eastAsia="Times New Roman"/>
          <w:vertAlign w:val="subscript"/>
        </w:rPr>
        <w:t>c</w:t>
      </w:r>
      <w:proofErr w:type="spellEnd"/>
      <w:r>
        <w:rPr>
          <w:rFonts w:eastAsia="Times New Roman"/>
        </w:rPr>
        <w:t xml:space="preserve"> = 90°), </w:t>
      </w:r>
      <w:proofErr w:type="spellStart"/>
      <w:r>
        <w:rPr>
          <w:rFonts w:eastAsia="Times New Roman"/>
        </w:rPr>
        <w:t>A</w:t>
      </w:r>
      <w:r>
        <w:rPr>
          <w:rFonts w:eastAsia="Times New Roman"/>
          <w:vertAlign w:val="subscript"/>
        </w:rPr>
        <w:t>int</w:t>
      </w:r>
      <w:proofErr w:type="spellEnd"/>
      <w:r>
        <w:rPr>
          <w:rFonts w:eastAsia="Times New Roman"/>
        </w:rPr>
        <w:t xml:space="preserve"> = 0.0844 mm². For Honeycomb (θ = 60°), </w:t>
      </w:r>
      <w:proofErr w:type="spellStart"/>
      <w:r>
        <w:rPr>
          <w:rFonts w:eastAsia="Times New Roman"/>
        </w:rPr>
        <w:t>A</w:t>
      </w:r>
      <w:r>
        <w:rPr>
          <w:rFonts w:eastAsia="Times New Roman"/>
          <w:vertAlign w:val="subscript"/>
        </w:rPr>
        <w:t>int</w:t>
      </w:r>
      <w:proofErr w:type="spellEnd"/>
      <w:r>
        <w:rPr>
          <w:rFonts w:eastAsia="Times New Roman"/>
        </w:rPr>
        <w:t xml:space="preserve"> = 0.3632 mm²—a factor of 4.3× larger. The constriction resistance at a </w:t>
      </w:r>
      <w:proofErr w:type="gramStart"/>
      <w:r>
        <w:rPr>
          <w:rFonts w:eastAsia="Times New Roman"/>
        </w:rPr>
        <w:t>single contact scales</w:t>
      </w:r>
      <w:proofErr w:type="gramEnd"/>
      <w:r>
        <w:rPr>
          <w:rFonts w:eastAsia="Times New Roman"/>
        </w:rPr>
        <w:t xml:space="preserve"> as </w:t>
      </w:r>
      <w:proofErr w:type="spellStart"/>
      <w:r>
        <w:rPr>
          <w:rFonts w:eastAsia="Times New Roman"/>
        </w:rPr>
        <w:t>R</w:t>
      </w:r>
      <w:r>
        <w:rPr>
          <w:rFonts w:eastAsia="Times New Roman"/>
          <w:vertAlign w:val="subscript"/>
        </w:rPr>
        <w:t>constr</w:t>
      </w:r>
      <w:proofErr w:type="spellEnd"/>
      <w:r>
        <w:rPr>
          <w:rFonts w:eastAsia="Times New Roman"/>
        </w:rPr>
        <w:t xml:space="preserve"> ∝ 1/(2σa), where a is the characteristic contact dimension (</w:t>
      </w:r>
      <w:proofErr w:type="spellStart"/>
      <w:r>
        <w:rPr>
          <w:rFonts w:eastAsia="Times New Roman"/>
        </w:rPr>
        <w:t>A</w:t>
      </w:r>
      <w:r>
        <w:rPr>
          <w:rFonts w:eastAsia="Times New Roman"/>
          <w:vertAlign w:val="subscript"/>
        </w:rPr>
        <w:t>int</w:t>
      </w:r>
      <w:proofErr w:type="spellEnd"/>
      <w:r>
        <w:rPr>
          <w:rFonts w:eastAsia="Times New Roman"/>
        </w:rPr>
        <w:t xml:space="preserve"> ∝ a²). A 4.3× increase in </w:t>
      </w:r>
      <w:proofErr w:type="spellStart"/>
      <w:r>
        <w:rPr>
          <w:rFonts w:eastAsia="Times New Roman"/>
        </w:rPr>
        <w:t>A</w:t>
      </w:r>
      <w:r>
        <w:rPr>
          <w:rFonts w:eastAsia="Times New Roman"/>
          <w:vertAlign w:val="subscript"/>
        </w:rPr>
        <w:t>int</w:t>
      </w:r>
      <w:proofErr w:type="spellEnd"/>
      <w:r>
        <w:rPr>
          <w:rFonts w:eastAsia="Times New Roman"/>
        </w:rPr>
        <w:t xml:space="preserve"> raises a by √4.3 ≈ 2.07, reducing </w:t>
      </w:r>
      <w:proofErr w:type="spellStart"/>
      <w:r>
        <w:rPr>
          <w:rFonts w:eastAsia="Times New Roman"/>
        </w:rPr>
        <w:t>R</w:t>
      </w:r>
      <w:r>
        <w:rPr>
          <w:rFonts w:eastAsia="Times New Roman"/>
          <w:vertAlign w:val="subscript"/>
        </w:rPr>
        <w:t>constr</w:t>
      </w:r>
      <w:proofErr w:type="spellEnd"/>
      <w:r>
        <w:rPr>
          <w:rFonts w:eastAsia="Times New Roman"/>
        </w:rPr>
        <w:t xml:space="preserve"> per crossing by approximately a factor of 2. Summed over all serial and parallel interlayer junctions in the 12-layer stack, this reduction in local constriction resistance produces the lowest bulk R for the Honeycomb topology.</w:t>
      </w:r>
    </w:p>
    <w:p w14:paraId="6F0C0B2B" w14:textId="77777777" w:rsidR="00D0274F" w:rsidRDefault="00000000">
      <w:pPr>
        <w:spacing w:after="120" w:line="360" w:lineRule="auto"/>
        <w:ind w:firstLine="360"/>
        <w:jc w:val="both"/>
      </w:pPr>
      <w:r>
        <w:rPr>
          <w:rFonts w:eastAsia="Times New Roman"/>
        </w:rPr>
        <w:t xml:space="preserve">The Scaffold and Grid share identical </w:t>
      </w:r>
      <w:proofErr w:type="spellStart"/>
      <w:r>
        <w:rPr>
          <w:rFonts w:eastAsia="Times New Roman"/>
        </w:rPr>
        <w:t>A</w:t>
      </w:r>
      <w:r>
        <w:rPr>
          <w:rFonts w:eastAsia="Times New Roman"/>
          <w:vertAlign w:val="subscript"/>
        </w:rPr>
        <w:t>int</w:t>
      </w:r>
      <w:proofErr w:type="spellEnd"/>
      <w:r>
        <w:rPr>
          <w:rFonts w:eastAsia="Times New Roman"/>
        </w:rPr>
        <w:t xml:space="preserve"> = 0.0844 mm², yet Scaffold exhibits higher </w:t>
      </w:r>
      <w:proofErr w:type="spellStart"/>
      <w:r>
        <w:rPr>
          <w:rFonts w:eastAsia="Times New Roman"/>
        </w:rPr>
        <w:t>σ</w:t>
      </w:r>
      <w:r>
        <w:rPr>
          <w:rFonts w:eastAsia="Times New Roman"/>
          <w:vertAlign w:val="subscript"/>
        </w:rPr>
        <w:t>eff</w:t>
      </w:r>
      <w:proofErr w:type="spellEnd"/>
      <w:r>
        <w:rPr>
          <w:rFonts w:eastAsia="Times New Roman"/>
        </w:rPr>
        <w:t xml:space="preserve"> (12.109 vs. 10.780 S/m in FEM; 9.916 vs. 6.240 S/m experimentally). This difference cannot originate from the contact area and is governed by the current-path </w:t>
      </w:r>
      <w:proofErr w:type="spellStart"/>
      <w:r>
        <w:rPr>
          <w:rFonts w:eastAsia="Times New Roman"/>
        </w:rPr>
        <w:t>organisation</w:t>
      </w:r>
      <w:proofErr w:type="spellEnd"/>
      <w:r>
        <w:rPr>
          <w:rFonts w:eastAsia="Times New Roman"/>
        </w:rPr>
        <w:t>. In the Scaffold 0°/90° cross-ply layup, one filament set spans the full specimen length parallel to E, providing a low-resistance conduction highway; the orthogonal set serves as interlayer bridges. In the Grid, every filament segment is inclined at an oblique angle to E, increasing the effective electrical path length (L</w:t>
      </w:r>
      <w:r>
        <w:rPr>
          <w:rFonts w:eastAsia="Times New Roman"/>
          <w:vertAlign w:val="subscript"/>
        </w:rPr>
        <w:t>eff</w:t>
      </w:r>
      <w:r>
        <w:rPr>
          <w:rFonts w:eastAsia="Times New Roman"/>
        </w:rPr>
        <w:t xml:space="preserve"> = L/cosα &gt; L) and cumulative resistance. The Grid’s meander toolpath also introduces a high density of turning-point constrictions that add further resistive loss.</w:t>
      </w:r>
    </w:p>
    <w:p w14:paraId="3C15685B" w14:textId="77777777" w:rsidR="00D0274F" w:rsidRDefault="00000000">
      <w:pPr>
        <w:spacing w:after="120" w:line="360" w:lineRule="auto"/>
        <w:ind w:firstLine="360"/>
        <w:jc w:val="both"/>
      </w:pPr>
      <w:r>
        <w:rPr>
          <w:rFonts w:eastAsia="Times New Roman"/>
        </w:rPr>
        <w:t xml:space="preserve">Beyond </w:t>
      </w:r>
      <w:proofErr w:type="spellStart"/>
      <w:r>
        <w:rPr>
          <w:rFonts w:eastAsia="Times New Roman"/>
        </w:rPr>
        <w:t>A</w:t>
      </w:r>
      <w:r>
        <w:rPr>
          <w:rFonts w:eastAsia="Times New Roman"/>
          <w:vertAlign w:val="subscript"/>
        </w:rPr>
        <w:t>int</w:t>
      </w:r>
      <w:proofErr w:type="spellEnd"/>
      <w:r>
        <w:rPr>
          <w:rFonts w:eastAsia="Times New Roman"/>
        </w:rPr>
        <w:t xml:space="preserve"> per crossing, the total interlayer contact area per interface, </w:t>
      </w:r>
      <w:proofErr w:type="spellStart"/>
      <w:r>
        <w:rPr>
          <w:rFonts w:eastAsia="Times New Roman"/>
        </w:rPr>
        <w:t>A</w:t>
      </w:r>
      <w:r>
        <w:rPr>
          <w:rFonts w:eastAsia="Times New Roman"/>
          <w:vertAlign w:val="subscript"/>
        </w:rPr>
        <w:t>total</w:t>
      </w:r>
      <w:proofErr w:type="spellEnd"/>
      <w:r>
        <w:rPr>
          <w:rFonts w:eastAsia="Times New Roman"/>
        </w:rPr>
        <w:t xml:space="preserve"> = </w:t>
      </w:r>
      <w:proofErr w:type="spellStart"/>
      <w:r>
        <w:rPr>
          <w:rFonts w:eastAsia="Times New Roman"/>
        </w:rPr>
        <w:t>N</w:t>
      </w:r>
      <w:r>
        <w:rPr>
          <w:rFonts w:eastAsia="Times New Roman"/>
          <w:vertAlign w:val="subscript"/>
        </w:rPr>
        <w:t>cross</w:t>
      </w:r>
      <w:proofErr w:type="spellEnd"/>
      <w:r>
        <w:rPr>
          <w:rFonts w:eastAsia="Times New Roman"/>
        </w:rPr>
        <w:t xml:space="preserve"> × </w:t>
      </w:r>
      <w:proofErr w:type="spellStart"/>
      <w:r>
        <w:rPr>
          <w:rFonts w:eastAsia="Times New Roman"/>
        </w:rPr>
        <w:t>A</w:t>
      </w:r>
      <w:r>
        <w:rPr>
          <w:rFonts w:eastAsia="Times New Roman"/>
          <w:vertAlign w:val="subscript"/>
        </w:rPr>
        <w:t>int</w:t>
      </w:r>
      <w:proofErr w:type="spellEnd"/>
      <w:r>
        <w:rPr>
          <w:rFonts w:eastAsia="Times New Roman"/>
        </w:rPr>
        <w:t xml:space="preserve">, governs cumulative constriction resistance. In the Scaffold (0°/90°), every filament crosses every filament of the adjacent layer, </w:t>
      </w:r>
      <w:proofErr w:type="spellStart"/>
      <w:r>
        <w:rPr>
          <w:rFonts w:eastAsia="Times New Roman"/>
        </w:rPr>
        <w:t>maximising</w:t>
      </w:r>
      <w:proofErr w:type="spellEnd"/>
      <w:r>
        <w:rPr>
          <w:rFonts w:eastAsia="Times New Roman"/>
        </w:rPr>
        <w:t xml:space="preserve"> </w:t>
      </w:r>
      <w:proofErr w:type="spellStart"/>
      <w:r>
        <w:rPr>
          <w:rFonts w:eastAsia="Times New Roman"/>
        </w:rPr>
        <w:t>N</w:t>
      </w:r>
      <w:r>
        <w:rPr>
          <w:rFonts w:eastAsia="Times New Roman"/>
          <w:vertAlign w:val="subscript"/>
        </w:rPr>
        <w:t>cross</w:t>
      </w:r>
      <w:proofErr w:type="spellEnd"/>
      <w:r>
        <w:rPr>
          <w:rFonts w:eastAsia="Times New Roman"/>
        </w:rPr>
        <w:t xml:space="preserve"> for a given pitch h</w:t>
      </w:r>
      <w:r>
        <w:rPr>
          <w:rFonts w:eastAsia="Times New Roman"/>
          <w:vertAlign w:val="subscript"/>
        </w:rPr>
        <w:t>p</w:t>
      </w:r>
      <w:r>
        <w:rPr>
          <w:rFonts w:eastAsia="Times New Roman"/>
        </w:rPr>
        <w:t xml:space="preserve">. The Grid distributes crossings along diamond-cell boundaries, leaving node-free voids at cell interiors. The Honeycomb generates fewer crossings per interface than the Scaffold but compensates through the 4.3× larger </w:t>
      </w:r>
      <w:proofErr w:type="spellStart"/>
      <w:r>
        <w:rPr>
          <w:rFonts w:eastAsia="Times New Roman"/>
        </w:rPr>
        <w:t>A</w:t>
      </w:r>
      <w:r>
        <w:rPr>
          <w:rFonts w:eastAsia="Times New Roman"/>
          <w:vertAlign w:val="subscript"/>
        </w:rPr>
        <w:t>int</w:t>
      </w:r>
      <w:proofErr w:type="spellEnd"/>
      <w:r>
        <w:rPr>
          <w:rFonts w:eastAsia="Times New Roman"/>
        </w:rPr>
        <w:t xml:space="preserve"> per crossing, yielding the highest </w:t>
      </w:r>
      <w:proofErr w:type="spellStart"/>
      <w:r>
        <w:rPr>
          <w:rFonts w:eastAsia="Times New Roman"/>
        </w:rPr>
        <w:t>A</w:t>
      </w:r>
      <w:r>
        <w:rPr>
          <w:rFonts w:eastAsia="Times New Roman"/>
          <w:vertAlign w:val="subscript"/>
        </w:rPr>
        <w:t>total</w:t>
      </w:r>
      <w:proofErr w:type="spellEnd"/>
      <w:r>
        <w:rPr>
          <w:rFonts w:eastAsia="Times New Roman"/>
        </w:rPr>
        <w:t xml:space="preserve"> and hence the lowest cumulative constriction resistance. </w:t>
      </w:r>
      <w:proofErr w:type="spellStart"/>
      <w:r>
        <w:rPr>
          <w:rFonts w:eastAsia="Times New Roman"/>
        </w:rPr>
        <w:t>Normalising</w:t>
      </w:r>
      <w:proofErr w:type="spellEnd"/>
      <w:r>
        <w:rPr>
          <w:rFonts w:eastAsia="Times New Roman"/>
        </w:rPr>
        <w:t xml:space="preserve"> </w:t>
      </w:r>
      <w:proofErr w:type="spellStart"/>
      <w:r>
        <w:rPr>
          <w:rFonts w:eastAsia="Times New Roman"/>
        </w:rPr>
        <w:t>σ</w:t>
      </w:r>
      <w:r>
        <w:rPr>
          <w:rFonts w:eastAsia="Times New Roman"/>
          <w:vertAlign w:val="subscript"/>
        </w:rPr>
        <w:t>eff</w:t>
      </w:r>
      <w:proofErr w:type="spellEnd"/>
      <w:r>
        <w:rPr>
          <w:rFonts w:eastAsia="Times New Roman"/>
        </w:rPr>
        <w:t xml:space="preserve"> by solid volume confirms the material-efficiency hierarchy: </w:t>
      </w:r>
      <w:proofErr w:type="spellStart"/>
      <w:r>
        <w:rPr>
          <w:rFonts w:eastAsia="Times New Roman"/>
        </w:rPr>
        <w:t>σ</w:t>
      </w:r>
      <w:r>
        <w:rPr>
          <w:rFonts w:eastAsia="Times New Roman"/>
          <w:vertAlign w:val="subscript"/>
        </w:rPr>
        <w:t>eff</w:t>
      </w:r>
      <w:proofErr w:type="spellEnd"/>
      <w:r>
        <w:rPr>
          <w:rFonts w:eastAsia="Times New Roman"/>
        </w:rPr>
        <w:t>/V = 0.0292 (Honeycomb), 0.0273 (Scaffold), and 0.0231 S·m</w:t>
      </w:r>
      <w:r>
        <w:rPr>
          <w:rFonts w:eastAsia="Times New Roman"/>
          <w:vertAlign w:val="superscript"/>
        </w:rPr>
        <w:t>−1</w:t>
      </w:r>
      <w:r>
        <w:rPr>
          <w:rFonts w:eastAsia="Times New Roman"/>
        </w:rPr>
        <w:t>·mm</w:t>
      </w:r>
      <w:r>
        <w:rPr>
          <w:rFonts w:eastAsia="Times New Roman"/>
          <w:vertAlign w:val="superscript"/>
        </w:rPr>
        <w:t>−3</w:t>
      </w:r>
      <w:r>
        <w:rPr>
          <w:rFonts w:eastAsia="Times New Roman"/>
        </w:rPr>
        <w:t xml:space="preserve"> (Grid)—the Honeycomb achieves 26% higher conductivity per unit material than the Grid.</w:t>
      </w:r>
    </w:p>
    <w:p w14:paraId="1C514F17" w14:textId="77777777" w:rsidR="00D0274F" w:rsidRDefault="00000000">
      <w:pPr>
        <w:pStyle w:val="2"/>
      </w:pPr>
      <w:r>
        <w:t>4.3. Comparative J-vector field analysis and bottleneck formation</w:t>
      </w:r>
    </w:p>
    <w:p w14:paraId="7653EBA3" w14:textId="77777777" w:rsidR="00D0274F" w:rsidRDefault="00000000">
      <w:pPr>
        <w:spacing w:after="120" w:line="360" w:lineRule="auto"/>
        <w:ind w:firstLine="360"/>
        <w:jc w:val="both"/>
      </w:pPr>
      <w:r>
        <w:rPr>
          <w:rFonts w:eastAsia="Times New Roman"/>
          <w:b/>
          <w:bCs/>
        </w:rPr>
        <w:t xml:space="preserve">Grid. </w:t>
      </w:r>
      <w:r>
        <w:rPr>
          <w:rFonts w:eastAsia="Times New Roman"/>
        </w:rPr>
        <w:t>The J-vector field maps (Fig. 8</w:t>
      </w:r>
      <w:proofErr w:type="gramStart"/>
      <w:r>
        <w:rPr>
          <w:rFonts w:eastAsia="Times New Roman"/>
        </w:rPr>
        <w:t>a,b</w:t>
      </w:r>
      <w:proofErr w:type="gramEnd"/>
      <w:r>
        <w:rPr>
          <w:rFonts w:eastAsia="Times New Roman"/>
        </w:rPr>
        <w:t xml:space="preserve">) show that both track sets exhibit comparably dense vector filling at the upper range of the logarithmic |J| scale. The magnified insets reveal only </w:t>
      </w:r>
      <w:proofErr w:type="spellStart"/>
      <w:r>
        <w:rPr>
          <w:rFonts w:eastAsia="Times New Roman"/>
        </w:rPr>
        <w:t>localised</w:t>
      </w:r>
      <w:proofErr w:type="spellEnd"/>
      <w:r>
        <w:rPr>
          <w:rFonts w:eastAsia="Times New Roman"/>
        </w:rPr>
        <w:t xml:space="preserve"> reductions in vector density at interlayer contact zones. This uniform distribution arises because no filament segment is oriented perpendicular to E: every segment carries a non-zero </w:t>
      </w:r>
      <w:r>
        <w:rPr>
          <w:rFonts w:eastAsia="Times New Roman"/>
        </w:rPr>
        <w:lastRenderedPageBreak/>
        <w:t xml:space="preserve">current component along the field direction. The full-lattice map (Fig. 8c) retains this dense, spatially continuous character throughout the grid domain, with constrictions confined to grid nodes and interlayer contacts. The A–A cross-section confirms that even at the interlayer interfaces, the vector concentration remains moderate. Among the three architectures, the Grid exhibits the most uniform J-field. Despite the lowest </w:t>
      </w:r>
      <w:proofErr w:type="spellStart"/>
      <w:r>
        <w:rPr>
          <w:rFonts w:eastAsia="Times New Roman"/>
        </w:rPr>
        <w:t>σ</w:t>
      </w:r>
      <w:r>
        <w:rPr>
          <w:rFonts w:eastAsia="Times New Roman"/>
          <w:vertAlign w:val="subscript"/>
        </w:rPr>
        <w:t>eff</w:t>
      </w:r>
      <w:proofErr w:type="spellEnd"/>
      <w:r>
        <w:rPr>
          <w:rFonts w:eastAsia="Times New Roman"/>
        </w:rPr>
        <w:t xml:space="preserve">, this characteristic represents a high potential for applications demanding homogeneous current distribution (sensors, uniform heating elements) rather than minimum resistance, since the current density is evenly </w:t>
      </w:r>
      <w:proofErr w:type="spellStart"/>
      <w:r>
        <w:rPr>
          <w:rFonts w:eastAsia="Times New Roman"/>
        </w:rPr>
        <w:t>utilised</w:t>
      </w:r>
      <w:proofErr w:type="spellEnd"/>
      <w:r>
        <w:rPr>
          <w:rFonts w:eastAsia="Times New Roman"/>
        </w:rPr>
        <w:t xml:space="preserve"> across the entire conductive volume.</w:t>
      </w:r>
    </w:p>
    <w:p w14:paraId="0C83B498" w14:textId="77777777" w:rsidR="00D0274F" w:rsidRDefault="00000000">
      <w:pPr>
        <w:spacing w:after="120" w:line="360" w:lineRule="auto"/>
        <w:ind w:firstLine="360"/>
        <w:jc w:val="both"/>
      </w:pPr>
      <w:r>
        <w:rPr>
          <w:rFonts w:eastAsia="Times New Roman"/>
          <w:b/>
          <w:bCs/>
        </w:rPr>
        <w:t xml:space="preserve">Scaffold. </w:t>
      </w:r>
      <w:r>
        <w:rPr>
          <w:rFonts w:eastAsia="Times New Roman"/>
        </w:rPr>
        <w:t xml:space="preserve">The Scaffold J-field (Fig. 10) exhibits a pronounced bimodal pattern. Tracks parallel to E (Fig. 10a) display dense, rectilinear vector filling with |J| concentrated at the upper logarithmic scale—the current flows efficiently along the full filament length without redirection. Tracks perpendicular to E (Fig. 10b) show markedly more heterogeneous |J|: extended yellow–green regions (low |J|) appear between contact nodes, and locally elevated |J| is concentrated at junction regions where current transfers between layers. The physical interpretation is direct: in the perpendicular filaments, current enters and exits exclusively through </w:t>
      </w:r>
      <w:proofErr w:type="spellStart"/>
      <w:r>
        <w:rPr>
          <w:rFonts w:eastAsia="Times New Roman"/>
        </w:rPr>
        <w:t>A</w:t>
      </w:r>
      <w:r>
        <w:rPr>
          <w:rFonts w:eastAsia="Times New Roman"/>
          <w:vertAlign w:val="subscript"/>
        </w:rPr>
        <w:t>int</w:t>
      </w:r>
      <w:proofErr w:type="spellEnd"/>
      <w:r>
        <w:rPr>
          <w:rFonts w:eastAsia="Times New Roman"/>
        </w:rPr>
        <w:t xml:space="preserve"> = 0.0844 mm² contact zones and traverses only a short transverse segment before transferring to the next parallel filament. Filament sections between consecutive contact points carry little current because they are not aligned with E and are in series with high-constriction-resistance junctions. The A–A cross-section (Fig. 10c) confirms the rarefied J-field in perpendicular layers compared to longitudinal ones. Despite this interlayer rarefaction, the parallel tracks provide an efficient conduction highway that enables </w:t>
      </w:r>
      <w:proofErr w:type="spellStart"/>
      <w:r>
        <w:rPr>
          <w:rFonts w:eastAsia="Times New Roman"/>
        </w:rPr>
        <w:t>I</w:t>
      </w:r>
      <w:r>
        <w:rPr>
          <w:rFonts w:eastAsia="Times New Roman"/>
          <w:vertAlign w:val="subscript"/>
        </w:rPr>
        <w:t>Scaffold</w:t>
      </w:r>
      <w:proofErr w:type="spellEnd"/>
      <w:r>
        <w:rPr>
          <w:rFonts w:eastAsia="Times New Roman"/>
        </w:rPr>
        <w:t xml:space="preserve"> = 0.365 A, which is 12% higher than </w:t>
      </w:r>
      <w:proofErr w:type="spellStart"/>
      <w:r>
        <w:rPr>
          <w:rFonts w:eastAsia="Times New Roman"/>
        </w:rPr>
        <w:t>I</w:t>
      </w:r>
      <w:r>
        <w:rPr>
          <w:rFonts w:eastAsia="Times New Roman"/>
          <w:vertAlign w:val="subscript"/>
        </w:rPr>
        <w:t>Grid</w:t>
      </w:r>
      <w:proofErr w:type="spellEnd"/>
      <w:r>
        <w:rPr>
          <w:rFonts w:eastAsia="Times New Roman"/>
        </w:rPr>
        <w:t xml:space="preserve"> = 0.325 A under the same 5 V bias.</w:t>
      </w:r>
    </w:p>
    <w:p w14:paraId="33B3DFBF" w14:textId="77777777" w:rsidR="00D0274F" w:rsidRDefault="00000000">
      <w:pPr>
        <w:spacing w:after="120" w:line="360" w:lineRule="auto"/>
        <w:ind w:firstLine="360"/>
        <w:jc w:val="both"/>
      </w:pPr>
      <w:r>
        <w:rPr>
          <w:rFonts w:eastAsia="Times New Roman"/>
          <w:b/>
          <w:bCs/>
        </w:rPr>
        <w:t xml:space="preserve">Honeycomb. </w:t>
      </w:r>
      <w:r>
        <w:rPr>
          <w:rFonts w:eastAsia="Times New Roman"/>
        </w:rPr>
        <w:t xml:space="preserve">Track set 1 (longitudinal, Fig. 9a) shows high vector filling and quasi-uniform |J| along the conducting tracks, with </w:t>
      </w:r>
      <w:proofErr w:type="spellStart"/>
      <w:r>
        <w:rPr>
          <w:rFonts w:eastAsia="Times New Roman"/>
        </w:rPr>
        <w:t>localised</w:t>
      </w:r>
      <w:proofErr w:type="spellEnd"/>
      <w:r>
        <w:rPr>
          <w:rFonts w:eastAsia="Times New Roman"/>
        </w:rPr>
        <w:t xml:space="preserve"> reductions at zig-zag apices where the filament changes direction by the turning angle α. Track set 2 (at 65° to E, Fig. 9b) is considerably more heterogeneous: extended yellow–green zones are interspersed with orange-level segments, and locally elevated |J| zones coincide with interlayer junctions and geometrically constrained conducting transitions. The magnified insets confirm pronounced local changes in vector density and orientation at junction and turn segments. In the full 12-layer lattice (Fig. 9c), the most severe |J| variations are concentrated at interlayer intersections, where the current must pass through the contact zones. Despite </w:t>
      </w:r>
      <w:proofErr w:type="spellStart"/>
      <w:r>
        <w:rPr>
          <w:rFonts w:eastAsia="Times New Roman"/>
        </w:rPr>
        <w:t>A</w:t>
      </w:r>
      <w:r>
        <w:rPr>
          <w:rFonts w:eastAsia="Times New Roman"/>
          <w:vertAlign w:val="subscript"/>
        </w:rPr>
        <w:t>int</w:t>
      </w:r>
      <w:proofErr w:type="spellEnd"/>
      <w:r>
        <w:rPr>
          <w:rFonts w:eastAsia="Times New Roman"/>
        </w:rPr>
        <w:t xml:space="preserve"> = 0.3632 mm² being 4.3× larger than in the other topologies, each zig-zag turn introduces a geometric constriction that forces local |J| peaks flanked by rarefied regions. </w:t>
      </w:r>
      <w:r>
        <w:rPr>
          <w:rFonts w:eastAsia="Times New Roman"/>
        </w:rPr>
        <w:lastRenderedPageBreak/>
        <w:t>These bottleneck features at interlayer junctions are characteristic of the honeycomb geometry, confirmed by both magnified views and the A–A cross-section.</w:t>
      </w:r>
    </w:p>
    <w:p w14:paraId="169B6287" w14:textId="77777777" w:rsidR="00D0274F" w:rsidRDefault="00000000">
      <w:pPr>
        <w:spacing w:after="120" w:line="360" w:lineRule="auto"/>
        <w:ind w:firstLine="360"/>
        <w:jc w:val="both"/>
      </w:pPr>
      <w:r>
        <w:rPr>
          <w:rFonts w:eastAsia="Times New Roman"/>
        </w:rPr>
        <w:t xml:space="preserve">A clear trade-off emerges from this comparison: the J-field uniformity decreases in the order Grid &gt; Scaffold (parallel tracks) &gt; Honeycomb, while </w:t>
      </w:r>
      <w:proofErr w:type="spellStart"/>
      <w:r>
        <w:rPr>
          <w:rFonts w:eastAsia="Times New Roman"/>
        </w:rPr>
        <w:t>σ</w:t>
      </w:r>
      <w:r>
        <w:rPr>
          <w:rFonts w:eastAsia="Times New Roman"/>
          <w:vertAlign w:val="subscript"/>
        </w:rPr>
        <w:t>eff</w:t>
      </w:r>
      <w:proofErr w:type="spellEnd"/>
      <w:r>
        <w:rPr>
          <w:rFonts w:eastAsia="Times New Roman"/>
        </w:rPr>
        <w:t xml:space="preserve"> increases in the reverse order. The Grid </w:t>
      </w:r>
      <w:proofErr w:type="spellStart"/>
      <w:r>
        <w:rPr>
          <w:rFonts w:eastAsia="Times New Roman"/>
        </w:rPr>
        <w:t>minimises</w:t>
      </w:r>
      <w:proofErr w:type="spellEnd"/>
      <w:r>
        <w:rPr>
          <w:rFonts w:eastAsia="Times New Roman"/>
        </w:rPr>
        <w:t xml:space="preserve"> tortuosity and distributes current most evenly among all filament segments but pays a penalty in elevated path length and cumulative resistance. The Honeycomb </w:t>
      </w:r>
      <w:proofErr w:type="spellStart"/>
      <w:r>
        <w:rPr>
          <w:rFonts w:eastAsia="Times New Roman"/>
        </w:rPr>
        <w:t>minimises</w:t>
      </w:r>
      <w:proofErr w:type="spellEnd"/>
      <w:r>
        <w:rPr>
          <w:rFonts w:eastAsia="Times New Roman"/>
        </w:rPr>
        <w:t xml:space="preserve"> constriction resistance through enlarged </w:t>
      </w:r>
      <w:proofErr w:type="spellStart"/>
      <w:r>
        <w:rPr>
          <w:rFonts w:eastAsia="Times New Roman"/>
        </w:rPr>
        <w:t>A</w:t>
      </w:r>
      <w:r>
        <w:rPr>
          <w:rFonts w:eastAsia="Times New Roman"/>
          <w:vertAlign w:val="subscript"/>
        </w:rPr>
        <w:t>int</w:t>
      </w:r>
      <w:proofErr w:type="spellEnd"/>
      <w:r>
        <w:rPr>
          <w:rFonts w:eastAsia="Times New Roman"/>
        </w:rPr>
        <w:t xml:space="preserve"> but introduces local bottlenecks at zig-zag turns that produce a wider spread of local |J| values. This inverse relationship reflects a fundamental constraint in lattice-based conductors: </w:t>
      </w:r>
      <w:proofErr w:type="spellStart"/>
      <w:r>
        <w:rPr>
          <w:rFonts w:eastAsia="Times New Roman"/>
        </w:rPr>
        <w:t>maximising</w:t>
      </w:r>
      <w:proofErr w:type="spellEnd"/>
      <w:r>
        <w:rPr>
          <w:rFonts w:eastAsia="Times New Roman"/>
        </w:rPr>
        <w:t xml:space="preserve"> interlayer contact area to reduce bulk resistance inherently requires oblique filament crossings that disrupt J-field uniformity. The choice of architecture therefore depends on the target application—minimum resistance versus uniform current distribution.</w:t>
      </w:r>
    </w:p>
    <w:p w14:paraId="621F9B19" w14:textId="77777777" w:rsidR="00D0274F" w:rsidRDefault="00000000">
      <w:pPr>
        <w:pStyle w:val="1"/>
      </w:pPr>
      <w:r>
        <w:t>5. Conclusions</w:t>
      </w:r>
    </w:p>
    <w:p w14:paraId="718E07EA" w14:textId="77777777" w:rsidR="00D0274F" w:rsidRDefault="00000000">
      <w:pPr>
        <w:spacing w:after="120" w:line="360" w:lineRule="auto"/>
        <w:jc w:val="both"/>
      </w:pPr>
      <w:r>
        <w:rPr>
          <w:rFonts w:eastAsia="Times New Roman"/>
        </w:rPr>
        <w:t>Three topology-controlled 3D graphene–</w:t>
      </w:r>
      <w:proofErr w:type="spellStart"/>
      <w:r>
        <w:rPr>
          <w:rFonts w:eastAsia="Times New Roman"/>
        </w:rPr>
        <w:t>SiC</w:t>
      </w:r>
      <w:proofErr w:type="spellEnd"/>
      <w:r>
        <w:rPr>
          <w:rFonts w:eastAsia="Times New Roman"/>
        </w:rPr>
        <w:t xml:space="preserve"> lattice architectures (Grid, Scaffold, Honeycomb) were fabricated by DIW and sintered at 1300 °C. Effective electrical conductivities were evaluated by steady-state DC FEM simulations and four-probe DC measurements. The principal findings are:</w:t>
      </w:r>
    </w:p>
    <w:p w14:paraId="70D2832E" w14:textId="77777777" w:rsidR="00D0274F" w:rsidRDefault="00000000">
      <w:pPr>
        <w:spacing w:after="120" w:line="360" w:lineRule="auto"/>
        <w:ind w:left="360"/>
        <w:jc w:val="both"/>
      </w:pPr>
      <w:r>
        <w:rPr>
          <w:rFonts w:eastAsia="Times New Roman"/>
        </w:rPr>
        <w:t xml:space="preserve">(1) FEM and experiment yield the same ranking: </w:t>
      </w:r>
      <w:proofErr w:type="spellStart"/>
      <w:r>
        <w:rPr>
          <w:rFonts w:eastAsia="Times New Roman"/>
        </w:rPr>
        <w:t>σ</w:t>
      </w:r>
      <w:proofErr w:type="gramStart"/>
      <w:r>
        <w:rPr>
          <w:rFonts w:eastAsia="Times New Roman"/>
          <w:vertAlign w:val="subscript"/>
        </w:rPr>
        <w:t>eff,Grid</w:t>
      </w:r>
      <w:proofErr w:type="spellEnd"/>
      <w:proofErr w:type="gramEnd"/>
      <w:r>
        <w:rPr>
          <w:rFonts w:eastAsia="Times New Roman"/>
        </w:rPr>
        <w:t xml:space="preserve"> (10.780 / 6.240 S/m) &lt; </w:t>
      </w:r>
      <w:proofErr w:type="spellStart"/>
      <w:r>
        <w:rPr>
          <w:rFonts w:eastAsia="Times New Roman"/>
        </w:rPr>
        <w:t>σ</w:t>
      </w:r>
      <w:proofErr w:type="gramStart"/>
      <w:r>
        <w:rPr>
          <w:rFonts w:eastAsia="Times New Roman"/>
          <w:vertAlign w:val="subscript"/>
        </w:rPr>
        <w:t>eff,Scaffold</w:t>
      </w:r>
      <w:proofErr w:type="spellEnd"/>
      <w:proofErr w:type="gramEnd"/>
      <w:r>
        <w:rPr>
          <w:rFonts w:eastAsia="Times New Roman"/>
        </w:rPr>
        <w:t xml:space="preserve"> (12.109 / 9.916 S/m) &lt; </w:t>
      </w:r>
      <w:proofErr w:type="spellStart"/>
      <w:r>
        <w:rPr>
          <w:rFonts w:eastAsia="Times New Roman"/>
        </w:rPr>
        <w:t>σ</w:t>
      </w:r>
      <w:proofErr w:type="gramStart"/>
      <w:r>
        <w:rPr>
          <w:rFonts w:eastAsia="Times New Roman"/>
          <w:vertAlign w:val="subscript"/>
        </w:rPr>
        <w:t>eff,Honeycomb</w:t>
      </w:r>
      <w:proofErr w:type="spellEnd"/>
      <w:proofErr w:type="gramEnd"/>
      <w:r>
        <w:rPr>
          <w:rFonts w:eastAsia="Times New Roman"/>
        </w:rPr>
        <w:t xml:space="preserve"> (12.943 / 10.869 S/m), confirming that the topology governs the electrical response.</w:t>
      </w:r>
    </w:p>
    <w:p w14:paraId="56FF808F" w14:textId="77777777" w:rsidR="00D0274F" w:rsidRDefault="00000000">
      <w:pPr>
        <w:spacing w:after="120" w:line="360" w:lineRule="auto"/>
        <w:ind w:left="360"/>
        <w:jc w:val="both"/>
      </w:pPr>
      <w:r>
        <w:rPr>
          <w:rFonts w:eastAsia="Times New Roman"/>
        </w:rPr>
        <w:t xml:space="preserve">(2) The interlayer contact area </w:t>
      </w:r>
      <w:proofErr w:type="spellStart"/>
      <w:r>
        <w:rPr>
          <w:rFonts w:eastAsia="Times New Roman"/>
        </w:rPr>
        <w:t>A</w:t>
      </w:r>
      <w:r>
        <w:rPr>
          <w:rFonts w:eastAsia="Times New Roman"/>
          <w:vertAlign w:val="subscript"/>
        </w:rPr>
        <w:t>int</w:t>
      </w:r>
      <w:proofErr w:type="spellEnd"/>
      <w:r>
        <w:rPr>
          <w:rFonts w:eastAsia="Times New Roman"/>
        </w:rPr>
        <w:t xml:space="preserve"> is the primary structural determinant. The Honeycomb’s oblique crossings (θ = 60°) produce </w:t>
      </w:r>
      <w:proofErr w:type="spellStart"/>
      <w:r>
        <w:rPr>
          <w:rFonts w:eastAsia="Times New Roman"/>
        </w:rPr>
        <w:t>A</w:t>
      </w:r>
      <w:r>
        <w:rPr>
          <w:rFonts w:eastAsia="Times New Roman"/>
          <w:vertAlign w:val="subscript"/>
        </w:rPr>
        <w:t>int</w:t>
      </w:r>
      <w:proofErr w:type="spellEnd"/>
      <w:r>
        <w:rPr>
          <w:rFonts w:eastAsia="Times New Roman"/>
        </w:rPr>
        <w:t xml:space="preserve"> = 0.3632 mm², 4.3× larger than the 90° crossings (0.0844 mm²) in Scaffold and Grid, directly reducing constriction resistance and yielding the highest </w:t>
      </w:r>
      <w:proofErr w:type="spellStart"/>
      <w:r>
        <w:rPr>
          <w:rFonts w:eastAsia="Times New Roman"/>
        </w:rPr>
        <w:t>σ</w:t>
      </w:r>
      <w:r>
        <w:rPr>
          <w:rFonts w:eastAsia="Times New Roman"/>
          <w:vertAlign w:val="subscript"/>
        </w:rPr>
        <w:t>eff</w:t>
      </w:r>
      <w:proofErr w:type="spellEnd"/>
      <w:r>
        <w:rPr>
          <w:rFonts w:eastAsia="Times New Roman"/>
        </w:rPr>
        <w:t>.</w:t>
      </w:r>
    </w:p>
    <w:p w14:paraId="22F3C9BD" w14:textId="77777777" w:rsidR="00D0274F" w:rsidRDefault="00000000">
      <w:pPr>
        <w:spacing w:after="120" w:line="360" w:lineRule="auto"/>
        <w:ind w:left="360"/>
        <w:jc w:val="both"/>
      </w:pPr>
      <w:r>
        <w:rPr>
          <w:rFonts w:eastAsia="Times New Roman"/>
        </w:rPr>
        <w:t xml:space="preserve">(3) At identical </w:t>
      </w:r>
      <w:proofErr w:type="spellStart"/>
      <w:r>
        <w:rPr>
          <w:rFonts w:eastAsia="Times New Roman"/>
        </w:rPr>
        <w:t>A</w:t>
      </w:r>
      <w:r>
        <w:rPr>
          <w:rFonts w:eastAsia="Times New Roman"/>
          <w:vertAlign w:val="subscript"/>
        </w:rPr>
        <w:t>int</w:t>
      </w:r>
      <w:proofErr w:type="spellEnd"/>
      <w:r>
        <w:rPr>
          <w:rFonts w:eastAsia="Times New Roman"/>
        </w:rPr>
        <w:t xml:space="preserve">, the Scaffold achieves 12% (FEM) to 59% (experiment) higher </w:t>
      </w:r>
      <w:proofErr w:type="spellStart"/>
      <w:r>
        <w:rPr>
          <w:rFonts w:eastAsia="Times New Roman"/>
        </w:rPr>
        <w:t>σ</w:t>
      </w:r>
      <w:r>
        <w:rPr>
          <w:rFonts w:eastAsia="Times New Roman"/>
          <w:vertAlign w:val="subscript"/>
        </w:rPr>
        <w:t>eff</w:t>
      </w:r>
      <w:proofErr w:type="spellEnd"/>
      <w:r>
        <w:rPr>
          <w:rFonts w:eastAsia="Times New Roman"/>
        </w:rPr>
        <w:t xml:space="preserve"> than the Grid despite 5.3% less solid material, demonstrating that current-path alignment with the field direction dominates over material volume.</w:t>
      </w:r>
    </w:p>
    <w:p w14:paraId="7D8F1EB0" w14:textId="77777777" w:rsidR="00D0274F" w:rsidRDefault="00000000">
      <w:pPr>
        <w:spacing w:after="120" w:line="360" w:lineRule="auto"/>
        <w:ind w:left="360"/>
        <w:jc w:val="both"/>
      </w:pPr>
      <w:r>
        <w:rPr>
          <w:rFonts w:eastAsia="Times New Roman"/>
        </w:rPr>
        <w:t xml:space="preserve">(4) J-vector field analysis reveals an inverse relationship between </w:t>
      </w:r>
      <w:proofErr w:type="spellStart"/>
      <w:r>
        <w:rPr>
          <w:rFonts w:eastAsia="Times New Roman"/>
        </w:rPr>
        <w:t>σ</w:t>
      </w:r>
      <w:r>
        <w:rPr>
          <w:rFonts w:eastAsia="Times New Roman"/>
          <w:vertAlign w:val="subscript"/>
        </w:rPr>
        <w:t>eff</w:t>
      </w:r>
      <w:proofErr w:type="spellEnd"/>
      <w:r>
        <w:rPr>
          <w:rFonts w:eastAsia="Times New Roman"/>
        </w:rPr>
        <w:t xml:space="preserve"> and J-field uniformity. The Grid exhibits the most uniform |J| distribution due to all filaments carrying a field-parallel current component. The Honeycomb, despite the highest </w:t>
      </w:r>
      <w:proofErr w:type="spellStart"/>
      <w:r>
        <w:rPr>
          <w:rFonts w:eastAsia="Times New Roman"/>
        </w:rPr>
        <w:t>σ</w:t>
      </w:r>
      <w:r>
        <w:rPr>
          <w:rFonts w:eastAsia="Times New Roman"/>
          <w:vertAlign w:val="subscript"/>
        </w:rPr>
        <w:t>eff</w:t>
      </w:r>
      <w:proofErr w:type="spellEnd"/>
      <w:r>
        <w:rPr>
          <w:rFonts w:eastAsia="Times New Roman"/>
        </w:rPr>
        <w:t xml:space="preserve">, shows the most heterogeneous </w:t>
      </w:r>
      <w:r>
        <w:rPr>
          <w:rFonts w:eastAsia="Times New Roman"/>
        </w:rPr>
        <w:lastRenderedPageBreak/>
        <w:t>local |J| with bottlenecks at zig-zag turns and interlayer junctions.</w:t>
      </w:r>
    </w:p>
    <w:p w14:paraId="76994DA1" w14:textId="77777777" w:rsidR="00D0274F" w:rsidRDefault="00000000">
      <w:pPr>
        <w:spacing w:after="120" w:line="360" w:lineRule="auto"/>
        <w:ind w:left="360"/>
        <w:jc w:val="both"/>
      </w:pPr>
      <w:r>
        <w:rPr>
          <w:rFonts w:eastAsia="Times New Roman"/>
        </w:rPr>
        <w:t>(5) The FEM–experiment offset (factor 1.19–1.73) is attributed to interlayer contact resistance, residual porosity, and sintering-induced dimensional deviations. The Grid shows the largest offset (1.73), consistent with its sensitivity to geometric imperfections at the numerous in-plane turning points.</w:t>
      </w:r>
    </w:p>
    <w:p w14:paraId="724417E4" w14:textId="77777777" w:rsidR="00D0274F" w:rsidRDefault="00000000">
      <w:pPr>
        <w:spacing w:after="120" w:line="360" w:lineRule="auto"/>
        <w:ind w:left="360"/>
        <w:jc w:val="both"/>
      </w:pPr>
      <w:r>
        <w:rPr>
          <w:rFonts w:eastAsia="Times New Roman"/>
        </w:rPr>
        <w:t>(6) The lattice architecture is the dominant design lever for tailoring electrical conductivity in DIW-printed graphene–</w:t>
      </w:r>
      <w:proofErr w:type="spellStart"/>
      <w:r>
        <w:rPr>
          <w:rFonts w:eastAsia="Times New Roman"/>
        </w:rPr>
        <w:t>SiC</w:t>
      </w:r>
      <w:proofErr w:type="spellEnd"/>
      <w:r>
        <w:rPr>
          <w:rFonts w:eastAsia="Times New Roman"/>
        </w:rPr>
        <w:t xml:space="preserve"> lattices. </w:t>
      </w:r>
      <w:proofErr w:type="spellStart"/>
      <w:r>
        <w:rPr>
          <w:rFonts w:eastAsia="Times New Roman"/>
        </w:rPr>
        <w:t>A</w:t>
      </w:r>
      <w:r>
        <w:rPr>
          <w:rFonts w:eastAsia="Times New Roman"/>
          <w:vertAlign w:val="subscript"/>
        </w:rPr>
        <w:t>int</w:t>
      </w:r>
      <w:proofErr w:type="spellEnd"/>
      <w:r>
        <w:rPr>
          <w:rFonts w:eastAsia="Times New Roman"/>
        </w:rPr>
        <w:t xml:space="preserve"> and filament–field alignment are the two independent structural parameters that can be </w:t>
      </w:r>
      <w:proofErr w:type="spellStart"/>
      <w:r>
        <w:rPr>
          <w:rFonts w:eastAsia="Times New Roman"/>
        </w:rPr>
        <w:t>optimised</w:t>
      </w:r>
      <w:proofErr w:type="spellEnd"/>
      <w:r>
        <w:rPr>
          <w:rFonts w:eastAsia="Times New Roman"/>
        </w:rPr>
        <w:t xml:space="preserve"> to achieve either maximum conductivity (Honeycomb) or maximum J-field uniformity (Grid).</w:t>
      </w:r>
    </w:p>
    <w:sectPr w:rsidR="00D027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425B3"/>
    <w:multiLevelType w:val="hybridMultilevel"/>
    <w:tmpl w:val="04D80C60"/>
    <w:lvl w:ilvl="0" w:tplc="35EC1570">
      <w:start w:val="1"/>
      <w:numFmt w:val="bullet"/>
      <w:lvlText w:val="●"/>
      <w:lvlJc w:val="left"/>
      <w:pPr>
        <w:ind w:left="720" w:hanging="360"/>
      </w:pPr>
    </w:lvl>
    <w:lvl w:ilvl="1" w:tplc="E6C6BEC4">
      <w:start w:val="1"/>
      <w:numFmt w:val="bullet"/>
      <w:lvlText w:val="○"/>
      <w:lvlJc w:val="left"/>
      <w:pPr>
        <w:ind w:left="1440" w:hanging="360"/>
      </w:pPr>
    </w:lvl>
    <w:lvl w:ilvl="2" w:tplc="F26CCCC6">
      <w:start w:val="1"/>
      <w:numFmt w:val="bullet"/>
      <w:lvlText w:val="■"/>
      <w:lvlJc w:val="left"/>
      <w:pPr>
        <w:ind w:left="2160" w:hanging="360"/>
      </w:pPr>
    </w:lvl>
    <w:lvl w:ilvl="3" w:tplc="6E961014">
      <w:start w:val="1"/>
      <w:numFmt w:val="bullet"/>
      <w:lvlText w:val="●"/>
      <w:lvlJc w:val="left"/>
      <w:pPr>
        <w:ind w:left="2880" w:hanging="360"/>
      </w:pPr>
    </w:lvl>
    <w:lvl w:ilvl="4" w:tplc="44B06A9E">
      <w:start w:val="1"/>
      <w:numFmt w:val="bullet"/>
      <w:lvlText w:val="○"/>
      <w:lvlJc w:val="left"/>
      <w:pPr>
        <w:ind w:left="3600" w:hanging="360"/>
      </w:pPr>
    </w:lvl>
    <w:lvl w:ilvl="5" w:tplc="8718199E">
      <w:start w:val="1"/>
      <w:numFmt w:val="bullet"/>
      <w:lvlText w:val="■"/>
      <w:lvlJc w:val="left"/>
      <w:pPr>
        <w:ind w:left="4320" w:hanging="360"/>
      </w:pPr>
    </w:lvl>
    <w:lvl w:ilvl="6" w:tplc="3D60F87E">
      <w:start w:val="1"/>
      <w:numFmt w:val="bullet"/>
      <w:lvlText w:val="●"/>
      <w:lvlJc w:val="left"/>
      <w:pPr>
        <w:ind w:left="5040" w:hanging="360"/>
      </w:pPr>
    </w:lvl>
    <w:lvl w:ilvl="7" w:tplc="90AA64C0">
      <w:start w:val="1"/>
      <w:numFmt w:val="bullet"/>
      <w:lvlText w:val="●"/>
      <w:lvlJc w:val="left"/>
      <w:pPr>
        <w:ind w:left="5760" w:hanging="360"/>
      </w:pPr>
    </w:lvl>
    <w:lvl w:ilvl="8" w:tplc="9B9C2B36">
      <w:start w:val="1"/>
      <w:numFmt w:val="bullet"/>
      <w:lvlText w:val="●"/>
      <w:lvlJc w:val="left"/>
      <w:pPr>
        <w:ind w:left="6480" w:hanging="360"/>
      </w:pPr>
    </w:lvl>
  </w:abstractNum>
  <w:num w:numId="1" w16cid:durableId="228081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4F"/>
    <w:rsid w:val="00305FA4"/>
    <w:rsid w:val="00D0274F"/>
    <w:rsid w:val="00FF7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0870"/>
  <w15:docId w15:val="{CF31F7A0-AEE8-4181-AAD4-DA7A377A6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200"/>
      <w:outlineLvl w:val="0"/>
    </w:pPr>
    <w:rPr>
      <w:rFonts w:eastAsia="Times New Roman"/>
      <w:b/>
      <w:bCs/>
      <w:sz w:val="28"/>
      <w:szCs w:val="28"/>
    </w:rPr>
  </w:style>
  <w:style w:type="paragraph" w:styleId="2">
    <w:name w:val="heading 2"/>
    <w:uiPriority w:val="9"/>
    <w:unhideWhenUsed/>
    <w:qFormat/>
    <w:pPr>
      <w:spacing w:before="220" w:after="160"/>
      <w:outlineLvl w:val="1"/>
    </w:pPr>
    <w:rPr>
      <w:rFonts w:eastAsia="Times New Roman"/>
      <w:b/>
      <w:bCs/>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1674</Words>
  <Characters>9548</Characters>
  <Application>Microsoft Office Word</Application>
  <DocSecurity>0</DocSecurity>
  <Lines>79</Lines>
  <Paragraphs>22</Paragraphs>
  <ScaleCrop>false</ScaleCrop>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Дмитрий Яцковский</cp:lastModifiedBy>
  <cp:revision>2</cp:revision>
  <dcterms:created xsi:type="dcterms:W3CDTF">2026-03-04T05:02:00Z</dcterms:created>
  <dcterms:modified xsi:type="dcterms:W3CDTF">2026-03-04T05:02:00Z</dcterms:modified>
</cp:coreProperties>
</file>