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7E02B" w14:textId="7B3E3614" w:rsidR="005A7C69" w:rsidRPr="005A7C69" w:rsidRDefault="005A7C69" w:rsidP="005A7C69">
      <w:pPr>
        <w:rPr>
          <w:rFonts w:ascii="Times New Roman" w:eastAsia="Times New Roman" w:hAnsi="Times New Roman" w:cs="Times New Roman"/>
        </w:rPr>
      </w:pPr>
      <w:bookmarkStart w:id="0" w:name="_GoBack"/>
      <w:r w:rsidRPr="005A7C69">
        <w:rPr>
          <w:rFonts w:ascii="HelveticaNeue" w:eastAsia="Times New Roman" w:hAnsi="HelveticaNeue" w:cs="Times New Roman"/>
          <w:b/>
          <w:bCs/>
          <w:i/>
          <w:iCs/>
          <w:color w:val="1A1914"/>
          <w:sz w:val="26"/>
          <w:szCs w:val="26"/>
          <w:bdr w:val="none" w:sz="0" w:space="0" w:color="auto" w:frame="1"/>
        </w:rPr>
        <w:t>NONSTOP GLUMES 1</w:t>
      </w:r>
      <w:r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调控水稻穗发育</w:t>
      </w:r>
    </w:p>
    <w:p w14:paraId="7A5490B7" w14:textId="6086ECB2" w:rsidR="00A81632" w:rsidRPr="00166C88" w:rsidRDefault="00A81632" w:rsidP="005A7C69">
      <w:pPr>
        <w:rPr>
          <w:rFonts w:ascii="HelveticaNeue" w:eastAsia="Times New Roman" w:hAnsi="HelveticaNeue" w:cs="Times New Roman"/>
          <w:b/>
          <w:bCs/>
          <w:color w:val="1A1914"/>
          <w:sz w:val="26"/>
          <w:szCs w:val="26"/>
          <w:bdr w:val="none" w:sz="0" w:space="0" w:color="auto" w:frame="1"/>
        </w:rPr>
      </w:pPr>
      <w:r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最近，鉴定出几种</w:t>
      </w:r>
      <w:r w:rsidR="00AC65DB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能</w:t>
      </w:r>
      <w:r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影响水稻株型的基因，这些基因可通过增加形成的籽粒数来提高产量，但目前</w:t>
      </w:r>
      <w:r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对于</w:t>
      </w:r>
      <w:r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水稻花序结构和器官特性的遗传控制</w:t>
      </w:r>
      <w:r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仍有待研究</w:t>
      </w:r>
      <w:r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。</w:t>
      </w:r>
    </w:p>
    <w:p w14:paraId="1AA93945" w14:textId="5C0C4BC9" w:rsidR="006B36C5" w:rsidRPr="00AC65DB" w:rsidRDefault="005A7C69" w:rsidP="000F15EA">
      <w:pPr>
        <w:rPr>
          <w:rFonts w:ascii="Times New Roman" w:eastAsia="Times New Roman" w:hAnsi="Times New Roman" w:cs="Times New Roman" w:hint="eastAsia"/>
        </w:rPr>
      </w:pPr>
      <w:r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作者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鉴定出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影响小穗发育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的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突变体</w:t>
      </w:r>
      <w:r w:rsidR="00166C88" w:rsidRPr="00166C88">
        <w:rPr>
          <w:rFonts w:ascii="HelveticaNeue" w:eastAsia="Times New Roman" w:hAnsi="HelveticaNeue" w:cs="Times New Roman"/>
          <w:b/>
          <w:bCs/>
          <w:i/>
          <w:iCs/>
          <w:color w:val="1A1914"/>
          <w:sz w:val="26"/>
          <w:szCs w:val="26"/>
          <w:bdr w:val="none" w:sz="0" w:space="0" w:color="auto" w:frame="1"/>
        </w:rPr>
        <w:t>NSG1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（编码转录因子），并阐明了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特定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花器官和非花器官的基因调控网络。</w:t>
      </w:r>
      <w:r w:rsidR="00166C88" w:rsidRPr="00166C88">
        <w:rPr>
          <w:rFonts w:ascii="HelveticaNeue" w:eastAsia="Times New Roman" w:hAnsi="HelveticaNeue" w:cs="Times New Roman" w:hint="eastAsia"/>
          <w:b/>
          <w:bCs/>
          <w:color w:val="1A1914"/>
          <w:sz w:val="26"/>
          <w:szCs w:val="26"/>
          <w:bdr w:val="none" w:sz="0" w:space="0" w:color="auto" w:frame="1"/>
        </w:rPr>
        <w:t xml:space="preserve"> </w:t>
      </w:r>
      <w:r w:rsidR="00AC65DB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而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功能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缺失性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的</w:t>
      </w:r>
      <w:r w:rsidR="00166C88" w:rsidRPr="00166C88">
        <w:rPr>
          <w:rFonts w:ascii="HelveticaNeue" w:eastAsia="Times New Roman" w:hAnsi="HelveticaNeue" w:cs="Times New Roman" w:hint="eastAsia"/>
          <w:b/>
          <w:bCs/>
          <w:i/>
          <w:iCs/>
          <w:color w:val="1A1914"/>
          <w:sz w:val="26"/>
          <w:szCs w:val="26"/>
          <w:bdr w:val="none" w:sz="0" w:space="0" w:color="auto" w:frame="1"/>
        </w:rPr>
        <w:t>nsg1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突变体表现出小穗</w:t>
      </w:r>
      <w:r w:rsidR="00AC65DB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外部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器官（颖片，</w:t>
      </w:r>
      <w:r w:rsidR="00AC65DB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外稃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，</w:t>
      </w:r>
      <w:r w:rsidR="00AC65DB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内</w:t>
      </w:r>
      <w:r w:rsidR="00AC65DB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稃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）异常和部分转化</w:t>
      </w:r>
      <w:r w:rsid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。</w:t>
      </w:r>
      <w:r w:rsidR="00166C88" w:rsidRPr="00166C88">
        <w:rPr>
          <w:rFonts w:ascii="HelveticaNeue" w:eastAsia="Times New Roman" w:hAnsi="HelveticaNeue" w:cs="Times New Roman" w:hint="eastAsia"/>
          <w:b/>
          <w:bCs/>
          <w:color w:val="1A1914"/>
          <w:sz w:val="26"/>
          <w:szCs w:val="26"/>
          <w:bdr w:val="none" w:sz="0" w:space="0" w:color="auto" w:frame="1"/>
        </w:rPr>
        <w:t xml:space="preserve"> 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进一步</w:t>
      </w:r>
      <w:r w:rsidR="006B36C5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分析表明，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该突变体中</w:t>
      </w:r>
      <w:r w:rsidR="00AC65DB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同一基因</w:t>
      </w:r>
      <w:r w:rsidR="00AC65DB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在多个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器官</w:t>
      </w:r>
      <w:r w:rsidR="006B36C5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，包括</w:t>
      </w:r>
      <w:r w:rsidR="006B36C5" w:rsidRPr="00166C88">
        <w:rPr>
          <w:rFonts w:ascii="HelveticaNeue" w:eastAsia="Times New Roman" w:hAnsi="HelveticaNeue" w:cs="Times New Roman"/>
          <w:b/>
          <w:bCs/>
          <w:color w:val="1A1914"/>
          <w:sz w:val="26"/>
          <w:szCs w:val="26"/>
          <w:bdr w:val="none" w:sz="0" w:space="0" w:color="auto" w:frame="1"/>
        </w:rPr>
        <w:t> </w:t>
      </w:r>
      <w:r w:rsidR="006B36C5" w:rsidRPr="00166C88">
        <w:rPr>
          <w:rFonts w:ascii="HelveticaNeue" w:eastAsia="Times New Roman" w:hAnsi="HelveticaNeue" w:cs="Times New Roman"/>
          <w:b/>
          <w:bCs/>
          <w:i/>
          <w:iCs/>
          <w:color w:val="1A1914"/>
          <w:sz w:val="26"/>
          <w:szCs w:val="26"/>
          <w:bdr w:val="none" w:sz="0" w:space="0" w:color="auto" w:frame="1"/>
        </w:rPr>
        <w:t>LEAFY HULL STERILE 1(LHS1)</w:t>
      </w:r>
      <w:r w:rsidR="006B36C5" w:rsidRPr="00166C88">
        <w:rPr>
          <w:rFonts w:ascii="HelveticaNeue" w:eastAsia="Times New Roman" w:hAnsi="HelveticaNeue" w:cs="Times New Roman"/>
          <w:b/>
          <w:bCs/>
          <w:color w:val="1A1914"/>
          <w:sz w:val="26"/>
          <w:szCs w:val="26"/>
          <w:bdr w:val="none" w:sz="0" w:space="0" w:color="auto" w:frame="1"/>
        </w:rPr>
        <w:t>, </w:t>
      </w:r>
      <w:r w:rsidR="006B36C5" w:rsidRPr="00166C88">
        <w:rPr>
          <w:rFonts w:ascii="HelveticaNeue" w:eastAsia="Times New Roman" w:hAnsi="HelveticaNeue" w:cs="Times New Roman"/>
          <w:b/>
          <w:bCs/>
          <w:i/>
          <w:iCs/>
          <w:color w:val="1A1914"/>
          <w:sz w:val="26"/>
          <w:szCs w:val="26"/>
          <w:bdr w:val="none" w:sz="0" w:space="0" w:color="auto" w:frame="1"/>
        </w:rPr>
        <w:t>DROOPING LEAF (DL)</w:t>
      </w:r>
      <w:r w:rsidR="00166C88">
        <w:rPr>
          <w:rFonts w:ascii="HelveticaNeue" w:eastAsia="Times New Roman" w:hAnsi="HelveticaNeue" w:cs="Times New Roman"/>
          <w:b/>
          <w:bCs/>
          <w:color w:val="1A1914"/>
          <w:sz w:val="26"/>
          <w:szCs w:val="26"/>
          <w:bdr w:val="none" w:sz="0" w:space="0" w:color="auto" w:frame="1"/>
        </w:rPr>
        <w:t xml:space="preserve"> </w:t>
      </w:r>
      <w:r w:rsid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以及</w:t>
      </w:r>
      <w:r w:rsidR="006B36C5" w:rsidRPr="00166C88">
        <w:rPr>
          <w:rFonts w:ascii="HelveticaNeue" w:eastAsia="Times New Roman" w:hAnsi="HelveticaNeue" w:cs="Times New Roman"/>
          <w:b/>
          <w:bCs/>
          <w:color w:val="1A1914"/>
          <w:sz w:val="26"/>
          <w:szCs w:val="26"/>
          <w:bdr w:val="none" w:sz="0" w:space="0" w:color="auto" w:frame="1"/>
        </w:rPr>
        <w:t xml:space="preserve"> </w:t>
      </w:r>
      <w:r w:rsidR="006B36C5" w:rsidRPr="00166C88">
        <w:rPr>
          <w:rFonts w:ascii="HelveticaNeue" w:eastAsia="Times New Roman" w:hAnsi="HelveticaNeue" w:cs="Times New Roman"/>
          <w:b/>
          <w:bCs/>
          <w:i/>
          <w:iCs/>
          <w:color w:val="1A1914"/>
          <w:sz w:val="26"/>
          <w:szCs w:val="26"/>
          <w:bdr w:val="none" w:sz="0" w:space="0" w:color="auto" w:frame="1"/>
        </w:rPr>
        <w:t>MOSAIC FLORAL ORGANS 1 (MFO1)</w:t>
      </w:r>
      <w:r w:rsidR="00166C88">
        <w:rPr>
          <w:rFonts w:ascii="HelveticaNeue" w:eastAsia="Times New Roman" w:hAnsi="HelveticaNeue" w:cs="Times New Roman"/>
          <w:b/>
          <w:bCs/>
          <w:i/>
          <w:iCs/>
          <w:color w:val="1A1914"/>
          <w:sz w:val="26"/>
          <w:szCs w:val="26"/>
          <w:bdr w:val="none" w:sz="0" w:space="0" w:color="auto" w:frame="1"/>
        </w:rPr>
        <w:t xml:space="preserve"> 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都</w:t>
      </w:r>
      <w:r w:rsidR="006B36C5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出现了异位表达。</w:t>
      </w:r>
      <w:r w:rsid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该研究</w:t>
      </w:r>
      <w:r w:rsidR="006B36C5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对于水稻小穗的遗传</w:t>
      </w:r>
      <w:r w:rsidR="00166C88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和</w:t>
      </w:r>
      <w:r w:rsidR="006B36C5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分子机制的深入理解可为增加水稻籽粒数和产量提供</w:t>
      </w:r>
      <w:r w:rsidR="00A81632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新</w:t>
      </w:r>
      <w:r w:rsidR="006B36C5" w:rsidRPr="00166C88">
        <w:rPr>
          <w:rFonts w:ascii="SimSun" w:eastAsia="SimSun" w:hAnsi="SimSun" w:cs="SimSun" w:hint="eastAsia"/>
          <w:b/>
          <w:bCs/>
          <w:color w:val="1A1914"/>
          <w:sz w:val="26"/>
          <w:szCs w:val="26"/>
          <w:bdr w:val="none" w:sz="0" w:space="0" w:color="auto" w:frame="1"/>
        </w:rPr>
        <w:t>方法。</w:t>
      </w:r>
    </w:p>
    <w:bookmarkEnd w:id="0"/>
    <w:p w14:paraId="396566A9" w14:textId="78BA259E" w:rsidR="000F15EA" w:rsidRDefault="000F15EA"/>
    <w:sectPr w:rsidR="000F15EA" w:rsidSect="0044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69"/>
    <w:rsid w:val="000F15EA"/>
    <w:rsid w:val="00166C88"/>
    <w:rsid w:val="00445D58"/>
    <w:rsid w:val="005A7C69"/>
    <w:rsid w:val="006B36C5"/>
    <w:rsid w:val="00A81632"/>
    <w:rsid w:val="00AC65DB"/>
    <w:rsid w:val="00D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A3B97"/>
  <w15:chartTrackingRefBased/>
  <w15:docId w15:val="{D0D556C8-061D-2941-982D-1D008756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7C69"/>
    <w:rPr>
      <w:b/>
      <w:bCs/>
    </w:rPr>
  </w:style>
  <w:style w:type="character" w:styleId="Emphasis">
    <w:name w:val="Emphasis"/>
    <w:basedOn w:val="DefaultParagraphFont"/>
    <w:uiPriority w:val="20"/>
    <w:qFormat/>
    <w:rsid w:val="005A7C69"/>
    <w:rPr>
      <w:i/>
      <w:iCs/>
    </w:rPr>
  </w:style>
  <w:style w:type="character" w:customStyle="1" w:styleId="apple-converted-space">
    <w:name w:val="apple-converted-space"/>
    <w:basedOn w:val="DefaultParagraphFont"/>
    <w:rsid w:val="005A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Yawei [AGRON]</dc:creator>
  <cp:keywords/>
  <dc:description/>
  <cp:lastModifiedBy>Li, Yawei [AGRON]</cp:lastModifiedBy>
  <cp:revision>1</cp:revision>
  <dcterms:created xsi:type="dcterms:W3CDTF">2019-12-20T18:05:00Z</dcterms:created>
  <dcterms:modified xsi:type="dcterms:W3CDTF">2019-12-20T19:25:00Z</dcterms:modified>
</cp:coreProperties>
</file>