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60" w:before="0"/>
        <w:jc w:val="center"/>
      </w:pPr>
      <w:r>
        <w:rPr>
          <w:rFonts w:ascii="Calibri" w:cs="Calibri" w:eastAsia="Calibri" w:hAnsi="Calibri"/>
          <w:b/>
          <w:bCs/>
          <w:color w:val="1F4E79"/>
          <w:sz w:val="26"/>
          <w:szCs w:val="26"/>
        </w:rPr>
        <w:t xml:space="preserve">FAST NATIONAL UNIVERSITY OF COMPUTER AND EMERGING SCIENCES</w:t>
      </w:r>
    </w:p>
    <w:p>
      <w:pPr>
        <w:spacing w:after="40" w:before="0"/>
        <w:jc w:val="center"/>
      </w:pPr>
      <w:r>
        <w:rPr>
          <w:rFonts w:ascii="Calibri" w:cs="Calibri" w:eastAsia="Calibri" w:hAnsi="Calibri"/>
          <w:color w:val="444444"/>
          <w:sz w:val="23"/>
          <w:szCs w:val="23"/>
        </w:rPr>
        <w:t xml:space="preserve">Department of Artificial Intelligence &amp; Data Science</w:t>
      </w:r>
    </w:p>
    <w:p>
      <w:pPr>
        <w:spacing w:after="280" w:before="0"/>
        <w:jc w:val="center"/>
      </w:pPr>
      <w:r>
        <w:rPr>
          <w:rFonts w:ascii="Calibri" w:cs="Calibri" w:eastAsia="Calibri" w:hAnsi="Calibri"/>
          <w:color w:val="555555"/>
          <w:sz w:val="22"/>
          <w:szCs w:val="22"/>
        </w:rPr>
        <w:t xml:space="preserve">School of Computing, Islamabad Campus</w:t>
      </w:r>
    </w:p>
    <w:p>
      <w:pPr>
        <w:pBdr>
          <w:top w:val="single" w:color="2E75B6" w:sz="8" w:space="8"/>
          <w:bottom w:val="single" w:color="2E75B6" w:sz="8" w:space="8"/>
        </w:pBdr>
        <w:spacing w:after="120" w:before="120"/>
        <w:jc w:val="center"/>
      </w:pPr>
      <w:r>
        <w:rPr>
          <w:rFonts w:ascii="Calibri" w:cs="Calibri" w:eastAsia="Calibri" w:hAnsi="Calibri"/>
          <w:b/>
          <w:bCs/>
          <w:color w:val="1F4E79"/>
          <w:sz w:val="44"/>
          <w:szCs w:val="44"/>
        </w:rPr>
        <w:t xml:space="preserve">Assignment 3: Experimentation and Expansion</w:t>
      </w:r>
    </w:p>
    <w:p>
      <w:pPr>
        <w:spacing w:after="0" w:before="0"/>
      </w:pPr>
      <w:r>
        <w:t xml:space="preserve"/>
      </w:r>
    </w:p>
    <w:p>
      <w:pPr>
        <w:spacing w:after="60" w:before="160"/>
        <w:jc w:val="center"/>
      </w:pPr>
      <w:r>
        <w:rPr>
          <w:rFonts w:ascii="Calibri" w:cs="Calibri" w:eastAsia="Calibri" w:hAnsi="Calibri"/>
          <w:b/>
          <w:bCs/>
          <w:i/>
          <w:iCs/>
          <w:color w:val="2E75B6"/>
          <w:sz w:val="27"/>
          <w:szCs w:val="27"/>
        </w:rPr>
        <w:t xml:space="preserve">AdaptRecDCL: GradNorm-based Adaptive Loss Weighting for Self-Supervised Recommendation</w:t>
      </w:r>
    </w:p>
    <w:p>
      <w:pPr>
        <w:spacing w:after="280" w:before="40"/>
        <w:jc w:val="center"/>
      </w:pPr>
      <w:r>
        <w:rPr>
          <w:rFonts w:ascii="Calibri" w:cs="Calibri" w:eastAsia="Calibri" w:hAnsi="Calibri"/>
          <w:color w:val="666666"/>
          <w:sz w:val="21"/>
          <w:szCs w:val="21"/>
        </w:rPr>
        <w:t xml:space="preserve">Extending RecDCL (Zhang et al., WWW 2024) with Cross-Dataset Evaluation and Proposed Method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Field</w:t>
            </w:r>
          </w:p>
        </w:tc>
        <w:tc>
          <w:tcPr>
            <w:tcW w:type="dxa" w:w="6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Authors</w:t>
            </w:r>
          </w:p>
        </w:tc>
        <w:tc>
          <w:tcPr>
            <w:tcW w:type="dxa" w:w="6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Yahya Abdul Hakeem (23I-2627) | Mustafa Kashif (23I-2583) | Ishmal Faheem (23I-5032)</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Course</w:t>
            </w:r>
          </w:p>
        </w:tc>
        <w:tc>
          <w:tcPr>
            <w:tcW w:type="dxa" w:w="6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Deep Learning (DS/AI)</w:t>
            </w:r>
          </w:p>
        </w:tc>
      </w:tr>
      <w:tr>
        <w:tc>
          <w:tcPr>
            <w:tcW w:type="dxa" w:w="28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Instructor</w:t>
            </w:r>
          </w:p>
        </w:tc>
        <w:tc>
          <w:tcPr>
            <w:tcW w:type="dxa" w:w="6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Mr. Ubaid Ul Rehman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Submission Date</w:t>
            </w:r>
          </w:p>
        </w:tc>
        <w:tc>
          <w:tcPr>
            <w:tcW w:type="dxa" w:w="6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April 2026</w:t>
            </w:r>
          </w:p>
        </w:tc>
      </w:tr>
      <w:tr>
        <w:tc>
          <w:tcPr>
            <w:tcW w:type="dxa" w:w="28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Baseline Paper</w:t>
            </w:r>
          </w:p>
        </w:tc>
        <w:tc>
          <w:tcPr>
            <w:tcW w:type="dxa" w:w="6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RecDCL: Dual Contrastive Learning for Recommendation (WWW 2024)</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Datasets</w:t>
            </w:r>
          </w:p>
        </w:tc>
        <w:tc>
          <w:tcPr>
            <w:tcW w:type="dxa" w:w="6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Gowalla (SNAP)  ·  Amazon Beauty (McAuley et al.)</w:t>
            </w:r>
          </w:p>
        </w:tc>
      </w:tr>
      <w:tr>
        <w:tc>
          <w:tcPr>
            <w:tcW w:type="dxa" w:w="28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Platform</w:t>
            </w:r>
          </w:p>
        </w:tc>
        <w:tc>
          <w:tcPr>
            <w:tcW w:type="dxa" w:w="6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Google Colaboratory — NVIDIA Tesla T4 GPU</w:t>
            </w:r>
          </w:p>
        </w:tc>
      </w:tr>
    </w:tbl>
    <w:p>
      <w:pPr>
        <w:spacing w:after="0" w:before="0"/>
      </w:pPr>
      <w:r>
        <w:t xml:space="preserve"/>
      </w:r>
    </w:p>
    <w:p>
      <w:pPr>
        <w:spacing w:after="0" w:before="0"/>
      </w:pPr>
      <w:r>
        <w:t xml:space="preserve"/>
      </w:r>
    </w:p>
    <w:p>
      <w:pPr>
        <w:spacing w:after="80" w:before="60"/>
      </w:pPr>
      <w:r>
        <w:rPr>
          <w:rFonts w:ascii="Calibri" w:cs="Calibri" w:eastAsia="Calibri" w:hAnsi="Calibri"/>
          <w:b/>
          <w:bCs/>
          <w:color w:val="1F4E79"/>
          <w:sz w:val="23"/>
          <w:szCs w:val="23"/>
        </w:rPr>
        <w:t xml:space="preserve">Project Repository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14"/>
              <w:bottom w:val="single" w:color="2E75B6" w:sz="4"/>
              <w:right w:val="single" w:color="2E75B6" w:sz="4"/>
            </w:tcBorders>
            <w:shd w:fill="EBF3FB" w:val="clear"/>
            <w:tcMar>
              <w:top w:type="dxa" w:w="140"/>
              <w:left w:type="dxa" w:w="240"/>
              <w:bottom w:type="dxa" w:w="140"/>
              <w:right w:type="dxa" w:w="240"/>
            </w:tcMar>
          </w:tcPr>
          <w:p>
            <w:pPr>
              <w:spacing w:after="60" w:before="0"/>
            </w:pPr>
            <w:r>
              <w:rPr>
                <w:rFonts w:ascii="Calibri" w:cs="Calibri" w:eastAsia="Calibri" w:hAnsi="Calibri"/>
                <w:b/>
                <w:bCs/>
                <w:color w:val="1F4E79"/>
                <w:sz w:val="22"/>
                <w:szCs w:val="22"/>
              </w:rPr>
              <w:t xml:space="preserve">💻  GitHub Repository</w:t>
            </w:r>
          </w:p>
          <w:p>
            <w:pPr>
              <w:spacing w:after="0" w:before="0"/>
            </w:pPr>
            <w:hyperlink w:history="1" r:id="rId4cuixva9rapw3rahnprvo">
              <w:r>
                <w:rPr>
                  <w:rFonts w:ascii="Calibri" w:cs="Calibri" w:eastAsia="Calibri" w:hAnsi="Calibri"/>
                  <w:color w:val="2E75B6"/>
                  <w:sz w:val="21"/>
                  <w:szCs w:val="21"/>
                  <w:u w:val="single" w:color="2E75B6"/>
                </w:rPr>
                <w:t xml:space="preserve">https://github.com/YAYAKHAN10/recDCL-reimagined</w:t>
              </w:r>
            </w:hyperlink>
          </w:p>
        </w:tc>
      </w:tr>
    </w:tbl>
    <w:p>
      <w:r>
        <w:br w:type="page"/>
      </w:r>
    </w:p>
    <w:p>
      <w:pPr>
        <w:pStyle w:val="Heading1"/>
        <w:pBdr>
          <w:bottom w:val="single" w:color="2E75B6" w:sz="6" w:space="3"/>
        </w:pBdr>
        <w:spacing w:after="160" w:before="340"/>
      </w:pPr>
      <w:r>
        <w:rPr>
          <w:rFonts w:ascii="Calibri" w:cs="Calibri" w:eastAsia="Calibri" w:hAnsi="Calibri"/>
          <w:b/>
          <w:bCs/>
          <w:color w:val="1F4E79"/>
          <w:sz w:val="30"/>
          <w:szCs w:val="30"/>
        </w:rPr>
        <w:t xml:space="preserve">1. Introduction</w:t>
      </w:r>
    </w:p>
    <w:p>
      <w:pPr>
        <w:spacing w:after="100" w:before="60"/>
      </w:pPr>
      <w:r>
        <w:rPr>
          <w:rFonts w:ascii="Calibri" w:cs="Calibri" w:eastAsia="Calibri" w:hAnsi="Calibri"/>
          <w:sz w:val="22"/>
          <w:szCs w:val="22"/>
        </w:rPr>
        <w:t xml:space="preserve">Recommender systems have become foundational infrastructure for modern digital platforms, enabling personalised content delivery across e-commerce, streaming, and social media. A persistent challenge in this domain is data sparsity: most user-item interaction matrices contain fewer than 0.1% non-zero entries, providing limited supervisory signal for learning high-quality user and item representations.</w:t>
      </w:r>
    </w:p>
    <w:p>
      <w:pPr>
        <w:spacing w:after="100" w:before="60"/>
      </w:pPr>
      <w:r>
        <w:rPr>
          <w:rFonts w:ascii="Calibri" w:cs="Calibri" w:eastAsia="Calibri" w:hAnsi="Calibri"/>
          <w:sz w:val="22"/>
          <w:szCs w:val="22"/>
        </w:rPr>
        <w:t xml:space="preserve">Self-supervised learning (SSL) has emerged as a powerful remedy. By deriving auxiliary supervisory signals from the interaction data itself through pretext tasks, SSL models learn richer representations without requiring additional labelled data. Assignment 2 reproduced RecDCL (Zhang et al., WWW 2024), a dual contrastive learning framework that combines batch-wise contrastive learning (BCL) and feature-wise contrastive learning (FCL) on top of a LightGCN graph encoder.</w:t>
      </w:r>
    </w:p>
    <w:p>
      <w:pPr>
        <w:spacing w:after="100" w:before="60"/>
      </w:pPr>
      <w:r>
        <w:rPr>
          <w:rFonts w:ascii="Calibri" w:cs="Calibri" w:eastAsia="Calibri" w:hAnsi="Calibri"/>
          <w:sz w:val="22"/>
          <w:szCs w:val="22"/>
        </w:rPr>
        <w:t xml:space="preserve">A key finding from Assignment 2 was that RecDCL's performance is sensitive to its loss weighting hyperparameters λ_BCL and λ_FCL. At full scale with large batch sizes, the contrastive losses produced gradients significantly larger than the primary BPR ranking loss, causing training instability. This motivates the central contribution of Assignment 3.</w:t>
      </w:r>
    </w:p>
    <w:p>
      <w:pPr>
        <w:spacing w:after="100" w:before="60"/>
      </w:pPr>
      <w:r>
        <w:rPr>
          <w:rFonts w:ascii="Calibri" w:cs="Calibri" w:eastAsia="Calibri" w:hAnsi="Calibri"/>
          <w:sz w:val="22"/>
          <w:szCs w:val="22"/>
        </w:rPr>
        <w:t xml:space="preserve">This report extends Assignment 2 in two directions:</w:t>
      </w:r>
    </w:p>
    <w:p>
      <w:pPr>
        <w:pStyle w:val="ListParagraph"/>
        <w:numPr>
          <w:ilvl w:val="0"/>
          <w:numId w:val="2"/>
        </w:numPr>
        <w:spacing w:after="40" w:before="40"/>
      </w:pPr>
      <w:r>
        <w:rPr>
          <w:rFonts w:ascii="Calibri" w:cs="Calibri" w:eastAsia="Calibri" w:hAnsi="Calibri"/>
          <w:sz w:val="22"/>
          <w:szCs w:val="22"/>
        </w:rPr>
        <w:t xml:space="preserve">Mandatory cross-dataset evaluation: All four models (MF, LightGCN, RecDCL, and the proposed AdaptRecDCL) are evaluated on a new benchmark — Amazon Beauty — in addition to the Gowalla subset from Assignment 2.</w:t>
      </w:r>
    </w:p>
    <w:p>
      <w:pPr>
        <w:pStyle w:val="ListParagraph"/>
        <w:numPr>
          <w:ilvl w:val="0"/>
          <w:numId w:val="2"/>
        </w:numPr>
        <w:spacing w:after="40" w:before="40"/>
      </w:pPr>
      <w:r>
        <w:rPr>
          <w:rFonts w:ascii="Calibri" w:cs="Calibri" w:eastAsia="Calibri" w:hAnsi="Calibri"/>
          <w:sz w:val="22"/>
          <w:szCs w:val="22"/>
        </w:rPr>
        <w:t xml:space="preserve">Proposed method — AdaptRecDCL: We replace RecDCL's manually tuned fixed λ values with learnable parameters automatically balanced via GradNorm (Chen et al., ICML 2018), eliminating per-dataset hyperparameter search.</w:t>
      </w:r>
    </w:p>
    <w:p>
      <w:pPr>
        <w:spacing w:after="0" w:before="0"/>
      </w:pPr>
      <w:r>
        <w:t xml:space="preserve"/>
      </w:r>
    </w:p>
    <w:p>
      <w:pPr>
        <w:spacing w:after="100" w:before="60"/>
      </w:pPr>
      <w:r>
        <w:rPr>
          <w:rFonts w:ascii="Calibri" w:cs="Calibri" w:eastAsia="Calibri" w:hAnsi="Calibri"/>
          <w:color w:val="555555"/>
          <w:sz w:val="21"/>
          <w:szCs w:val="21"/>
        </w:rPr>
        <w:t xml:space="preserve">Full implementation, training logs, and experiment scripts: </w:t>
      </w:r>
    </w:p>
    <w:p>
      <w:pPr>
        <w:spacing w:after="160" w:before="40"/>
      </w:pPr>
      <w:hyperlink w:history="1" r:id="rId7l_qf6qwx8qvzdnhmtadr">
        <w:r>
          <w:rPr>
            <w:rFonts w:ascii="Calibri" w:cs="Calibri" w:eastAsia="Calibri" w:hAnsi="Calibri"/>
            <w:b/>
            <w:bCs/>
            <w:color w:val="2E75B6"/>
            <w:sz w:val="21"/>
            <w:szCs w:val="21"/>
            <w:u w:val="single" w:color="2E75B6"/>
          </w:rPr>
          <w:t xml:space="preserve">https://github.com/YAYAKHAN10/recDCL-reimagined</w:t>
        </w:r>
      </w:hyperlink>
    </w:p>
    <w:p>
      <w:pPr>
        <w:pStyle w:val="Heading1"/>
        <w:pBdr>
          <w:bottom w:val="single" w:color="2E75B6" w:sz="6" w:space="3"/>
        </w:pBdr>
        <w:spacing w:after="160" w:before="340"/>
      </w:pPr>
      <w:r>
        <w:rPr>
          <w:rFonts w:ascii="Calibri" w:cs="Calibri" w:eastAsia="Calibri" w:hAnsi="Calibri"/>
          <w:b/>
          <w:bCs/>
          <w:color w:val="1F4E79"/>
          <w:sz w:val="30"/>
          <w:szCs w:val="30"/>
        </w:rPr>
        <w:t xml:space="preserve">2. Background and Paper Summary</w:t>
      </w:r>
    </w:p>
    <w:p>
      <w:pPr>
        <w:pStyle w:val="Heading2"/>
        <w:spacing w:after="100" w:before="220"/>
      </w:pPr>
      <w:r>
        <w:rPr>
          <w:rFonts w:ascii="Calibri" w:cs="Calibri" w:eastAsia="Calibri" w:hAnsi="Calibri"/>
          <w:b/>
          <w:bCs/>
          <w:color w:val="2E75B6"/>
          <w:sz w:val="25"/>
          <w:szCs w:val="25"/>
        </w:rPr>
        <w:t xml:space="preserve">2.1 Collaborative Filtering Baselines</w:t>
      </w:r>
    </w:p>
    <w:p>
      <w:pPr>
        <w:spacing w:after="100" w:before="60"/>
      </w:pPr>
      <w:r>
        <w:rPr>
          <w:rFonts w:ascii="Calibri" w:cs="Calibri" w:eastAsia="Calibri" w:hAnsi="Calibri"/>
          <w:sz w:val="22"/>
          <w:szCs w:val="22"/>
        </w:rPr>
        <w:t xml:space="preserve">Matrix Factorization (MF) is the canonical collaborative filtering baseline. It learns user and item embedding vectors whose dot products approximate observed interaction signals, optimised with Bayesian Personalised Ranking (BPR) loss. While effective on dense data, MF fails to capture higher-order connectivity in the user-item interaction graph.</w:t>
      </w:r>
    </w:p>
    <w:p>
      <w:pPr>
        <w:spacing w:after="100" w:before="60"/>
      </w:pPr>
      <w:r>
        <w:rPr>
          <w:rFonts w:ascii="Calibri" w:cs="Calibri" w:eastAsia="Calibri" w:hAnsi="Calibri"/>
          <w:sz w:val="22"/>
          <w:szCs w:val="22"/>
        </w:rPr>
        <w:t xml:space="preserve">LightGCN (He et al., SIGIR 2020) addresses this by propagating embeddings over the bipartite user-item graph across multiple layers, then mean-pooling the outputs. This allows the model to incorporate multi-hop neighbourhood signals. LightGCN strips away the non-linear activation and feature transformation of standard GCNs, making it both simpler and more effective for recommendation.</w:t>
      </w:r>
    </w:p>
    <w:p>
      <w:pPr>
        <w:pStyle w:val="Heading2"/>
        <w:spacing w:after="100" w:before="220"/>
      </w:pPr>
      <w:r>
        <w:rPr>
          <w:rFonts w:ascii="Calibri" w:cs="Calibri" w:eastAsia="Calibri" w:hAnsi="Calibri"/>
          <w:b/>
          <w:bCs/>
          <w:color w:val="2E75B6"/>
          <w:sz w:val="25"/>
          <w:szCs w:val="25"/>
        </w:rPr>
        <w:t xml:space="preserve">2.2 RecDCL: Dual Contrastive Learning</w:t>
      </w:r>
    </w:p>
    <w:p>
      <w:pPr>
        <w:spacing w:after="100" w:before="60"/>
      </w:pPr>
      <w:r>
        <w:rPr>
          <w:rFonts w:ascii="Calibri" w:cs="Calibri" w:eastAsia="Calibri" w:hAnsi="Calibri"/>
          <w:sz w:val="22"/>
          <w:szCs w:val="22"/>
        </w:rPr>
        <w:t xml:space="preserve">RecDCL (Zhang et al., WWW 2024) builds on LightGCN with two self-supervised auxiliary objectives designed to improve representation quality:</w:t>
      </w:r>
    </w:p>
    <w:p>
      <w:pPr>
        <w:spacing w:after="100" w:before="60"/>
      </w:pPr>
      <w:r>
        <w:rPr>
          <w:rFonts w:ascii="Calibri" w:cs="Calibri" w:eastAsia="Calibri" w:hAnsi="Calibri"/>
          <w:b/>
          <w:bCs/>
          <w:sz w:val="22"/>
          <w:szCs w:val="22"/>
        </w:rPr>
        <w:t xml:space="preserve">Batch-wise Contrastive Loss (BCL): </w:t>
      </w:r>
      <w:r>
        <w:rPr>
          <w:rFonts w:ascii="Calibri" w:cs="Calibri" w:eastAsia="Calibri" w:hAnsi="Calibri"/>
          <w:sz w:val="22"/>
          <w:szCs w:val="22"/>
        </w:rPr>
        <w:t xml:space="preserve">An InfoNCE loss applied over a batch of (user, positive item) pairs. Each pair is treated as the correct answer to a B-class classification problem, where all other items in the batch serve as negatives. A projection head maps GCN embeddings to a contrastive space before computing normalised dot-product similarities, divided by a temperature τ. This forces user embeddings to be similar to their interacted items and dissimilar to all other items in the batch.</w:t>
      </w:r>
    </w:p>
    <w:p>
      <w:pPr>
        <w:spacing w:after="100" w:before="60"/>
      </w:pPr>
      <w:r>
        <w:rPr>
          <w:rFonts w:ascii="Calibri" w:cs="Calibri" w:eastAsia="Calibri" w:hAnsi="Calibri"/>
          <w:b/>
          <w:bCs/>
          <w:sz w:val="22"/>
          <w:szCs w:val="22"/>
        </w:rPr>
        <w:t xml:space="preserve">Feature-wise Contrastive Loss (FCL): </w:t>
      </w:r>
      <w:r>
        <w:rPr>
          <w:rFonts w:ascii="Calibri" w:cs="Calibri" w:eastAsia="Calibri" w:hAnsi="Calibri"/>
          <w:sz w:val="22"/>
          <w:szCs w:val="22"/>
        </w:rPr>
        <w:t xml:space="preserve">An orthogonality constraint applied across embedding dimensions rather than across samples. The Gram matrix of user and item embeddings is computed over the feature dimension, and off-diagonal entries are penalised. This encourages each embedding dimension to encode unique information, eliminating representational redundancy.</w:t>
      </w:r>
    </w:p>
    <w:p>
      <w:pPr>
        <w:spacing w:after="100" w:before="60"/>
      </w:pPr>
      <w:r>
        <w:rPr>
          <w:rFonts w:ascii="Calibri" w:cs="Calibri" w:eastAsia="Calibri" w:hAnsi="Calibri"/>
          <w:sz w:val="22"/>
          <w:szCs w:val="22"/>
        </w:rPr>
        <w:t xml:space="preserve">The paper provides a theoretical proof that BCL alone admits redundant solutions, FCL alone may miss optimal solutions, but BCL + FCL together guarantee non-redundant, optimal embeddings. The total training objective is:</w:t>
      </w:r>
    </w:p>
    <w:p>
      <w:pPr>
        <w:spacing w:after="100" w:before="100"/>
        <w:jc w:val="center"/>
      </w:pPr>
      <w:r>
        <w:rPr>
          <w:rFonts w:ascii="Calibri" w:cs="Calibri" w:eastAsia="Calibri" w:hAnsi="Calibri"/>
          <w:b/>
          <w:bCs/>
          <w:i/>
          <w:iCs/>
          <w:sz w:val="22"/>
          <w:szCs w:val="22"/>
        </w:rPr>
        <w:t xml:space="preserve">L = L_BPR + λ_BCL · L_BCL + λ_FCL · L_FCL + λ_L2 · L_L2</w:t>
      </w:r>
    </w:p>
    <w:p>
      <w:pPr>
        <w:spacing w:after="100" w:before="60"/>
      </w:pPr>
      <w:r>
        <w:rPr>
          <w:rFonts w:ascii="Calibri" w:cs="Calibri" w:eastAsia="Calibri" w:hAnsi="Calibri"/>
          <w:sz w:val="22"/>
          <w:szCs w:val="22"/>
        </w:rPr>
        <w:t xml:space="preserve">where λ_BCL and λ_FCL are fixed hyperparameters tuned per dataset via grid search in the original paper.</w:t>
      </w:r>
    </w:p>
    <w:p>
      <w:pPr>
        <w:pStyle w:val="Heading2"/>
        <w:spacing w:after="100" w:before="220"/>
      </w:pPr>
      <w:r>
        <w:rPr>
          <w:rFonts w:ascii="Calibri" w:cs="Calibri" w:eastAsia="Calibri" w:hAnsi="Calibri"/>
          <w:b/>
          <w:bCs/>
          <w:color w:val="2E75B6"/>
          <w:sz w:val="25"/>
          <w:szCs w:val="25"/>
        </w:rPr>
        <w:t xml:space="preserve">2.3 GradNorm for Multi-Task Learning</w:t>
      </w:r>
    </w:p>
    <w:p>
      <w:pPr>
        <w:spacing w:after="100" w:before="60"/>
      </w:pPr>
      <w:r>
        <w:rPr>
          <w:rFonts w:ascii="Calibri" w:cs="Calibri" w:eastAsia="Calibri" w:hAnsi="Calibri"/>
          <w:sz w:val="22"/>
          <w:szCs w:val="22"/>
        </w:rPr>
        <w:t xml:space="preserve">GradNorm (Chen et al., ICML 2018) is a gradient normalisation technique for multi-task learning. Rather than manually tuning task loss weights, GradNorm treats them as learnable parameters updated by a secondary loss that penalises deviations from a target gradient norm ratio. Specifically, it computes the gradient norm each task places on a shared network layer, then adjusts task weights so that tasks with slower relative training rates receive higher weighting. The restoring force is controlled by a hyperparameter α.</w:t>
      </w:r>
    </w:p>
    <w:p>
      <w:pPr>
        <w:spacing w:after="0" w:before="0"/>
      </w:pPr>
      <w:r>
        <w:t xml:space="preserve"/>
      </w:r>
    </w:p>
    <w:p>
      <w:pPr>
        <w:pStyle w:val="Heading1"/>
        <w:pBdr>
          <w:bottom w:val="single" w:color="2E75B6" w:sz="6" w:space="3"/>
        </w:pBdr>
        <w:spacing w:after="160" w:before="340"/>
      </w:pPr>
      <w:r>
        <w:rPr>
          <w:rFonts w:ascii="Calibri" w:cs="Calibri" w:eastAsia="Calibri" w:hAnsi="Calibri"/>
          <w:b/>
          <w:bCs/>
          <w:color w:val="1F4E79"/>
          <w:sz w:val="30"/>
          <w:szCs w:val="30"/>
        </w:rPr>
        <w:t xml:space="preserve">3. Reproduction Summary</w:t>
      </w:r>
    </w:p>
    <w:p>
      <w:pPr>
        <w:spacing w:after="100" w:before="60"/>
      </w:pPr>
      <w:r>
        <w:rPr>
          <w:rFonts w:ascii="Calibri" w:cs="Calibri" w:eastAsia="Calibri" w:hAnsi="Calibri"/>
          <w:sz w:val="22"/>
          <w:szCs w:val="22"/>
        </w:rPr>
        <w:t xml:space="preserve">Assignment 2 reproduced three models from RecDCL on a Gowalla subset and the full Gowalla dataset. The key findings were:</w:t>
      </w:r>
    </w:p>
    <w:p>
      <w:pPr>
        <w:pStyle w:val="ListParagraph"/>
        <w:numPr>
          <w:ilvl w:val="0"/>
          <w:numId w:val="2"/>
        </w:numPr>
        <w:spacing w:after="40" w:before="40"/>
      </w:pPr>
      <w:r>
        <w:rPr>
          <w:rFonts w:ascii="Calibri" w:cs="Calibri" w:eastAsia="Calibri" w:hAnsi="Calibri"/>
          <w:sz w:val="22"/>
          <w:szCs w:val="22"/>
        </w:rPr>
        <w:t xml:space="preserve">On the 3,000-user Gowalla subset with 120 epochs and λ=0.05, the relative ordering MF &lt; LightGCN &lt; RecDCL was confirmed, with RecDCL achieving Recall@20 = 0.1065 vs LightGCN's 0.0830 — a +28.3% improvement.</w:t>
      </w:r>
    </w:p>
    <w:p>
      <w:pPr>
        <w:pStyle w:val="ListParagraph"/>
        <w:numPr>
          <w:ilvl w:val="0"/>
          <w:numId w:val="2"/>
        </w:numPr>
        <w:spacing w:after="40" w:before="40"/>
      </w:pPr>
      <w:r>
        <w:rPr>
          <w:rFonts w:ascii="Calibri" w:cs="Calibri" w:eastAsia="Calibri" w:hAnsi="Calibri"/>
          <w:sz w:val="22"/>
          <w:szCs w:val="22"/>
        </w:rPr>
        <w:t xml:space="preserve">On the full Gowalla dataset (29,858 users, T4 GPU, 1,000 epochs), MF and LightGCN converged successfully. RecDCL collapsed — peaking at Recall@20 = 0.0715 at epoch 10 before degrading, triggering early stopping at epoch 260.</w:t>
      </w:r>
    </w:p>
    <w:p>
      <w:pPr>
        <w:pStyle w:val="ListParagraph"/>
        <w:numPr>
          <w:ilvl w:val="0"/>
          <w:numId w:val="2"/>
        </w:numPr>
        <w:spacing w:after="40" w:before="40"/>
      </w:pPr>
      <w:r>
        <w:rPr>
          <w:rFonts w:ascii="Calibri" w:cs="Calibri" w:eastAsia="Calibri" w:hAnsi="Calibri"/>
          <w:sz w:val="22"/>
          <w:szCs w:val="22"/>
        </w:rPr>
        <w:t xml:space="preserve">The collapse was attributed to gradient imbalance: with batch_size=2,048, the BCL InfoNCE loss produces gradients approximately 7× larger than BPR, overwhelming the ranking objective when λ=0.05.</w:t>
      </w:r>
    </w:p>
    <w:p>
      <w:pPr>
        <w:spacing w:after="100" w:before="60"/>
      </w:pPr>
      <w:r>
        <w:rPr>
          <w:rFonts w:ascii="Calibri" w:cs="Calibri" w:eastAsia="Calibri" w:hAnsi="Calibri"/>
          <w:sz w:val="22"/>
          <w:szCs w:val="22"/>
        </w:rPr>
        <w:t xml:space="preserve">This reproducibility finding — that RecDCL is sensitive to the λ hyperparameters and requires per-dataset tuning — directly motivates the AdaptRecDCL method proposed in this assignment.</w:t>
      </w:r>
    </w:p>
    <w:p>
      <w:pPr>
        <w:spacing w:after="0" w:before="0"/>
      </w:pPr>
      <w:r>
        <w:t xml:space="preserve"/>
      </w:r>
    </w:p>
    <w:p>
      <w:pPr>
        <w:pStyle w:val="Heading1"/>
        <w:pBdr>
          <w:bottom w:val="single" w:color="2E75B6" w:sz="6" w:space="3"/>
        </w:pBdr>
        <w:spacing w:after="160" w:before="340"/>
      </w:pPr>
      <w:r>
        <w:rPr>
          <w:rFonts w:ascii="Calibri" w:cs="Calibri" w:eastAsia="Calibri" w:hAnsi="Calibri"/>
          <w:b/>
          <w:bCs/>
          <w:color w:val="1F4E79"/>
          <w:sz w:val="30"/>
          <w:szCs w:val="30"/>
        </w:rPr>
        <w:t xml:space="preserve">4. Proposed Method: AdaptRecDCL</w:t>
      </w:r>
    </w:p>
    <w:p>
      <w:pPr>
        <w:pStyle w:val="Heading2"/>
        <w:spacing w:after="100" w:before="220"/>
      </w:pPr>
      <w:r>
        <w:rPr>
          <w:rFonts w:ascii="Calibri" w:cs="Calibri" w:eastAsia="Calibri" w:hAnsi="Calibri"/>
          <w:b/>
          <w:bCs/>
          <w:color w:val="2E75B6"/>
          <w:sz w:val="25"/>
          <w:szCs w:val="25"/>
        </w:rPr>
        <w:t xml:space="preserve">4.1 Motivation</w:t>
      </w:r>
    </w:p>
    <w:p>
      <w:pPr>
        <w:spacing w:after="100" w:before="60"/>
      </w:pPr>
      <w:r>
        <w:rPr>
          <w:rFonts w:ascii="Calibri" w:cs="Calibri" w:eastAsia="Calibri" w:hAnsi="Calibri"/>
          <w:sz w:val="22"/>
          <w:szCs w:val="22"/>
        </w:rPr>
        <w:t xml:space="preserve">The fundamental limitation of RecDCL is the assumption that fixed λ values (tuned once via grid search) generalise across datasets, batch sizes, and training stages. In practice, the relative gradient magnitudes of BPR, BCL, and FCL shift over training: early in training, the contrastive losses may dominate because embeddings are far from convergence; later, the BPR signal may dominate as embeddings stabilise. A static λ cannot adapt to these dynamics.</w:t>
      </w:r>
    </w:p>
    <w:p>
      <w:pPr>
        <w:pStyle w:val="Heading2"/>
        <w:spacing w:after="100" w:before="220"/>
      </w:pPr>
      <w:r>
        <w:rPr>
          <w:rFonts w:ascii="Calibri" w:cs="Calibri" w:eastAsia="Calibri" w:hAnsi="Calibri"/>
          <w:b/>
          <w:bCs/>
          <w:color w:val="2E75B6"/>
          <w:sz w:val="25"/>
          <w:szCs w:val="25"/>
        </w:rPr>
        <w:t xml:space="preserve">4.2 Method Description</w:t>
      </w:r>
    </w:p>
    <w:p>
      <w:pPr>
        <w:spacing w:after="100" w:before="60"/>
      </w:pPr>
      <w:r>
        <w:rPr>
          <w:rFonts w:ascii="Calibri" w:cs="Calibri" w:eastAsia="Calibri" w:hAnsi="Calibri"/>
          <w:sz w:val="22"/>
          <w:szCs w:val="22"/>
        </w:rPr>
        <w:t xml:space="preserve">AdaptRecDCL replaces the fixed scalars λ_BCL and λ_FCL with learnable log-scale parameters:</w:t>
      </w:r>
    </w:p>
    <w:p>
      <w:pPr>
        <w:spacing w:after="80" w:before="80"/>
        <w:jc w:val="center"/>
      </w:pPr>
      <w:r>
        <w:rPr>
          <w:rFonts w:ascii="Calibri" w:cs="Calibri" w:eastAsia="Calibri" w:hAnsi="Calibri"/>
          <w:i/>
          <w:iCs/>
          <w:sz w:val="22"/>
          <w:szCs w:val="22"/>
        </w:rPr>
        <w:t xml:space="preserve">λ_BCL = exp(log_λ_BCL)        λ_FCL = exp(log_λ_FCL)</w:t>
      </w:r>
    </w:p>
    <w:p>
      <w:pPr>
        <w:spacing w:after="100" w:before="60"/>
      </w:pPr>
      <w:r>
        <w:rPr>
          <w:rFonts w:ascii="Calibri" w:cs="Calibri" w:eastAsia="Calibri" w:hAnsi="Calibri"/>
          <w:sz w:val="22"/>
          <w:szCs w:val="22"/>
        </w:rPr>
        <w:t xml:space="preserve">Log-scale parameterisation ensures λ &gt; 0 at all times. Both parameters are initialised to log(0.05) ≈ −3.0, identical to RecDCL's starting point, ensuring a fair comparison.</w:t>
      </w:r>
    </w:p>
    <w:p>
      <w:pPr>
        <w:spacing w:after="100" w:before="60"/>
      </w:pPr>
      <w:r>
        <w:rPr>
          <w:rFonts w:ascii="Calibri" w:cs="Calibri" w:eastAsia="Calibri" w:hAnsi="Calibri"/>
          <w:sz w:val="22"/>
          <w:szCs w:val="22"/>
        </w:rPr>
        <w:t xml:space="preserve">A secondary GradNorm optimiser updates log_λ_BCL and log_λ_FCL every 5 training steps using the following procedure:</w:t>
      </w:r>
    </w:p>
    <w:p>
      <w:pPr>
        <w:pStyle w:val="ListParagraph"/>
        <w:numPr>
          <w:ilvl w:val="0"/>
          <w:numId w:val="2"/>
        </w:numPr>
        <w:spacing w:after="40" w:before="40"/>
      </w:pPr>
      <w:r>
        <w:rPr>
          <w:rFonts w:ascii="Calibri" w:cs="Calibri" w:eastAsia="Calibri" w:hAnsi="Calibri"/>
          <w:sz w:val="22"/>
          <w:szCs w:val="22"/>
        </w:rPr>
        <w:t xml:space="preserve">Compute the gradient norm G_k of each task k ∈ {BPR, BCL, FCL} with respect to the shared projection layer weights.</w:t>
      </w:r>
    </w:p>
    <w:p>
      <w:pPr>
        <w:pStyle w:val="ListParagraph"/>
        <w:numPr>
          <w:ilvl w:val="0"/>
          <w:numId w:val="2"/>
        </w:numPr>
        <w:spacing w:after="40" w:before="40"/>
      </w:pPr>
      <w:r>
        <w:rPr>
          <w:rFonts w:ascii="Calibri" w:cs="Calibri" w:eastAsia="Calibri" w:hAnsi="Calibri"/>
          <w:sz w:val="22"/>
          <w:szCs w:val="22"/>
        </w:rPr>
        <w:t xml:space="preserve">Compute the average gradient norm G_avg = (G_BPR + G_BCL + G_FCL) / 3.</w:t>
      </w:r>
    </w:p>
    <w:p>
      <w:pPr>
        <w:pStyle w:val="ListParagraph"/>
        <w:numPr>
          <w:ilvl w:val="0"/>
          <w:numId w:val="2"/>
        </w:numPr>
        <w:spacing w:after="40" w:before="40"/>
      </w:pPr>
      <w:r>
        <w:rPr>
          <w:rFonts w:ascii="Calibri" w:cs="Calibri" w:eastAsia="Calibri" w:hAnsi="Calibri"/>
          <w:sz w:val="22"/>
          <w:szCs w:val="22"/>
        </w:rPr>
        <w:t xml:space="preserve">Compute each task's relative inverse training rate r_k = L_k(t) / L_k(0), measuring how fast each loss decreases relative to its initial value.</w:t>
      </w:r>
    </w:p>
    <w:p>
      <w:pPr>
        <w:pStyle w:val="ListParagraph"/>
        <w:numPr>
          <w:ilvl w:val="0"/>
          <w:numId w:val="2"/>
        </w:numPr>
        <w:spacing w:after="40" w:before="40"/>
      </w:pPr>
      <w:r>
        <w:rPr>
          <w:rFonts w:ascii="Calibri" w:cs="Calibri" w:eastAsia="Calibri" w:hAnsi="Calibri"/>
          <w:sz w:val="22"/>
          <w:szCs w:val="22"/>
        </w:rPr>
        <w:t xml:space="preserve">Set target gradient norms T_k = G_avg × (r_k / r_avg)^α, where α = 1.5 controls the restoring force. Tasks training slowly (high r_k) receive higher gradient norm targets.</w:t>
      </w:r>
    </w:p>
    <w:p>
      <w:pPr>
        <w:pStyle w:val="ListParagraph"/>
        <w:numPr>
          <w:ilvl w:val="0"/>
          <w:numId w:val="2"/>
        </w:numPr>
        <w:spacing w:after="40" w:before="40"/>
      </w:pPr>
      <w:r>
        <w:rPr>
          <w:rFonts w:ascii="Calibri" w:cs="Calibri" w:eastAsia="Calibri" w:hAnsi="Calibri"/>
          <w:sz w:val="22"/>
          <w:szCs w:val="22"/>
        </w:rPr>
        <w:t xml:space="preserve">The GradNorm loss L_GN = Σ_k |G_k − T_k| is minimised with respect to the λ parameters only (model weights are frozen during this step).</w:t>
      </w:r>
    </w:p>
    <w:p>
      <w:pPr>
        <w:spacing w:after="100" w:before="60"/>
      </w:pPr>
      <w:r>
        <w:rPr>
          <w:rFonts w:ascii="Calibri" w:cs="Calibri" w:eastAsia="Calibri" w:hAnsi="Calibri"/>
          <w:sz w:val="22"/>
          <w:szCs w:val="22"/>
        </w:rPr>
        <w:t xml:space="preserve">λ values are clamped to the range [10⁻⁴, 1.0] to prevent extreme values. The main model parameters are updated by a standard Adam optimiser with lr = 3×10⁻³ (Gowalla) or lr = 10⁻³ (Beauty), while the λ parameters use a dedicated Adam with lr = 0.01.</w:t>
      </w:r>
    </w:p>
    <w:p>
      <w:pPr>
        <w:pStyle w:val="Heading2"/>
        <w:spacing w:after="100" w:before="220"/>
      </w:pPr>
      <w:r>
        <w:rPr>
          <w:rFonts w:ascii="Calibri" w:cs="Calibri" w:eastAsia="Calibri" w:hAnsi="Calibri"/>
          <w:b/>
          <w:bCs/>
          <w:color w:val="2E75B6"/>
          <w:sz w:val="25"/>
          <w:szCs w:val="25"/>
        </w:rPr>
        <w:t xml:space="preserve">4.3 Theoretical Justification</w:t>
      </w:r>
    </w:p>
    <w:p>
      <w:pPr>
        <w:spacing w:after="100" w:before="60"/>
      </w:pPr>
      <w:r>
        <w:rPr>
          <w:rFonts w:ascii="Calibri" w:cs="Calibri" w:eastAsia="Calibri" w:hAnsi="Calibri"/>
          <w:sz w:val="22"/>
          <w:szCs w:val="22"/>
        </w:rPr>
        <w:t xml:space="preserve">The GradNorm objective ensures that no single task dominates gradient flow through the shared encoder. When BCL's gradient grows large (as happens at large batch sizes), GradNorm automatically reduces λ_BCL, preventing the contrastive objective from overwhelming BPR. Conversely, if BPR begins to dominate, λ_BCL and λ_FCL would increase. This is precisely the dynamic regulation that was missing in RecDCL's full-scale failure case identified in Assignment 2.</w:t>
      </w:r>
    </w:p>
    <w:p>
      <w:pPr>
        <w:spacing w:after="100" w:before="60"/>
      </w:pPr>
      <w:r>
        <w:rPr>
          <w:rFonts w:ascii="Calibri" w:cs="Calibri" w:eastAsia="Calibri" w:hAnsi="Calibri"/>
          <w:sz w:val="22"/>
          <w:szCs w:val="22"/>
        </w:rPr>
        <w:t xml:space="preserve">Furthermore, since AdaptRecDCL starts from the same λ=0.05 as RecDCL and only updates λ when gradient imbalance is detected, it represents a strict superset of RecDCL's behaviour — it can reproduce RecDCL's performance (when λ stays near 0.05) while also correcting cases where RecDCL fails.</w:t>
      </w:r>
    </w:p>
    <w:p>
      <w:r>
        <w:br w:type="page"/>
      </w:r>
    </w:p>
    <w:p>
      <w:pPr>
        <w:pStyle w:val="Heading1"/>
        <w:pBdr>
          <w:bottom w:val="single" w:color="2E75B6" w:sz="6" w:space="3"/>
        </w:pBdr>
        <w:spacing w:after="160" w:before="340"/>
      </w:pPr>
      <w:r>
        <w:rPr>
          <w:rFonts w:ascii="Calibri" w:cs="Calibri" w:eastAsia="Calibri" w:hAnsi="Calibri"/>
          <w:b/>
          <w:bCs/>
          <w:color w:val="1F4E79"/>
          <w:sz w:val="30"/>
          <w:szCs w:val="30"/>
        </w:rPr>
        <w:t xml:space="preserve">5. Experimental Setup</w:t>
      </w:r>
    </w:p>
    <w:p>
      <w:pPr>
        <w:pStyle w:val="Heading2"/>
        <w:spacing w:after="100" w:before="220"/>
      </w:pPr>
      <w:r>
        <w:rPr>
          <w:rFonts w:ascii="Calibri" w:cs="Calibri" w:eastAsia="Calibri" w:hAnsi="Calibri"/>
          <w:b/>
          <w:bCs/>
          <w:color w:val="2E75B6"/>
          <w:sz w:val="25"/>
          <w:szCs w:val="25"/>
        </w:rPr>
        <w:t xml:space="preserve">5.1 Models</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000"/>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Model</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Type</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Loss Function</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Key Parameters</w:t>
            </w:r>
          </w:p>
        </w:tc>
      </w:tr>
      <w:tr>
        <w:tc>
          <w:tcPr>
            <w:tcW w:type="dxa" w:w="15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MF</w:t>
            </w:r>
          </w:p>
        </w:tc>
        <w:tc>
          <w:tcPr>
            <w:tcW w:type="dxa" w:w="15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Baseline CF</w:t>
            </w:r>
          </w:p>
        </w:tc>
        <w:tc>
          <w:tcPr>
            <w:tcW w:type="dxa" w:w="3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BPR + L2</w:t>
            </w:r>
          </w:p>
        </w:tc>
        <w:tc>
          <w:tcPr>
            <w:tcW w:type="dxa" w:w="3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Embedding lookup + dot product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LightGCN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Graph CF</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BPR + L2</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3-layer graph propagation, mean pool</w:t>
            </w:r>
          </w:p>
        </w:tc>
      </w:tr>
      <w:tr>
        <w:tc>
          <w:tcPr>
            <w:tcW w:type="dxa" w:w="15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RecDCL</w:t>
            </w:r>
          </w:p>
        </w:tc>
        <w:tc>
          <w:tcPr>
            <w:tcW w:type="dxa" w:w="15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SSL (A2 paper)</w:t>
            </w:r>
          </w:p>
        </w:tc>
        <w:tc>
          <w:tcPr>
            <w:tcW w:type="dxa" w:w="3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BPR + λ_BCL·BCL + λ_FCL·FCL + L2</w:t>
            </w:r>
          </w:p>
        </w:tc>
        <w:tc>
          <w:tcPr>
            <w:tcW w:type="dxa" w:w="3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Fixed λ_BCL = λ_FCL = 0.05</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AdaptRecDCL</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SSL (Proposed)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BPR + λ_BCL(t)·BCL + λ_FCL(t)·FCL + L2</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Learnable λ via GradNorm, α=1.5</w:t>
            </w:r>
          </w:p>
        </w:tc>
      </w:tr>
    </w:tbl>
    <w:p>
      <w:pPr>
        <w:spacing w:after="0" w:before="0"/>
      </w:pPr>
      <w:r>
        <w:t xml:space="preserve"/>
      </w:r>
    </w:p>
    <w:p>
      <w:pPr>
        <w:pStyle w:val="Heading2"/>
        <w:spacing w:after="100" w:before="220"/>
      </w:pPr>
      <w:r>
        <w:rPr>
          <w:rFonts w:ascii="Calibri" w:cs="Calibri" w:eastAsia="Calibri" w:hAnsi="Calibri"/>
          <w:b/>
          <w:bCs/>
          <w:color w:val="2E75B6"/>
          <w:sz w:val="25"/>
          <w:szCs w:val="25"/>
        </w:rPr>
        <w:t xml:space="preserve">5.2 Datasets</w:t>
      </w:r>
    </w:p>
    <w:p>
      <w:pPr>
        <w:spacing w:after="100" w:before="60"/>
      </w:pPr>
      <w:r>
        <w:rPr>
          <w:rFonts w:ascii="Calibri" w:cs="Calibri" w:eastAsia="Calibri" w:hAnsi="Calibri"/>
          <w:sz w:val="22"/>
          <w:szCs w:val="22"/>
        </w:rPr>
        <w:t xml:space="preserve">Two datasets were used, both standard SSL recommendation benchmarks from the RecDCL paper family:</w:t>
      </w:r>
    </w:p>
    <w:p>
      <w:pPr>
        <w:spacing w:after="0" w:before="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600"/>
        <w:gridCol w:w="1100"/>
        <w:gridCol w:w="1100"/>
        <w:gridCol w:w="90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Dataset</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Users</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Items</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Interactions</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Density</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Filter</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Split</w:t>
            </w:r>
          </w:p>
        </w:tc>
      </w:tr>
      <w:tr>
        <w:tc>
          <w:tcPr>
            <w:tcW w:type="dxa" w:w="2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Gowalla (subset)</w:t>
            </w:r>
          </w:p>
        </w:tc>
        <w:tc>
          <w:tcPr>
            <w:tcW w:type="dxa" w:w="11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3,000</w:t>
            </w:r>
          </w:p>
        </w:tc>
        <w:tc>
          <w:tcPr>
            <w:tcW w:type="dxa" w:w="11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33,215</w:t>
            </w:r>
          </w:p>
        </w:tc>
        <w:tc>
          <w:tcPr>
            <w:tcW w:type="dxa" w:w="16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79,482</w:t>
            </w:r>
          </w:p>
        </w:tc>
        <w:tc>
          <w:tcPr>
            <w:tcW w:type="dxa" w:w="11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0.0798%</w:t>
            </w:r>
          </w:p>
        </w:tc>
        <w:tc>
          <w:tcPr>
            <w:tcW w:type="dxa" w:w="11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10-core</w:t>
            </w:r>
          </w:p>
        </w:tc>
        <w:tc>
          <w:tcPr>
            <w:tcW w:type="dxa" w:w="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80/20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Amazon Beauty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~22,000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~12,000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~150K</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~0.05%</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10-core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80/20</w:t>
            </w:r>
          </w:p>
        </w:tc>
      </w:tr>
    </w:tbl>
    <w:p>
      <w:pPr>
        <w:spacing w:after="0" w:before="0"/>
      </w:pPr>
      <w:r>
        <w:t xml:space="preserve"/>
      </w:r>
    </w:p>
    <w:p>
      <w:pPr>
        <w:spacing w:after="100" w:before="60"/>
      </w:pPr>
      <w:r>
        <w:rPr>
          <w:rFonts w:ascii="Calibri" w:cs="Calibri" w:eastAsia="Calibri" w:hAnsi="Calibri"/>
          <w:sz w:val="22"/>
          <w:szCs w:val="22"/>
        </w:rPr>
        <w:t xml:space="preserve">Gowalla is a location-based social network check-in dataset. The 3,000-user subset replicates Assignment 2's primary experiment. Amazon Beauty contains product reviews from Amazon's Beauty category, pre-filtered to 5-core by McAuley et al., then further filtered to 10-core. Both datasets use per-user 80/20 train/test splits, with full ranking evaluation.</w:t>
      </w:r>
    </w:p>
    <w:p>
      <w:pPr>
        <w:pStyle w:val="Heading2"/>
        <w:spacing w:after="100" w:before="220"/>
      </w:pPr>
      <w:r>
        <w:rPr>
          <w:rFonts w:ascii="Calibri" w:cs="Calibri" w:eastAsia="Calibri" w:hAnsi="Calibri"/>
          <w:b/>
          <w:bCs/>
          <w:color w:val="2E75B6"/>
          <w:sz w:val="25"/>
          <w:szCs w:val="25"/>
        </w:rPr>
        <w:t xml:space="preserve">5.3 Hyperparameters</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0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Parameter</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Value</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Embedding size</w:t>
            </w:r>
          </w:p>
        </w:tc>
        <w:tc>
          <w:tcPr>
            <w:tcW w:type="dxa" w:w="18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64</w:t>
            </w:r>
          </w:p>
        </w:tc>
        <w:tc>
          <w:tcPr>
            <w:tcW w:type="dxa" w:w="4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Matches RecDCL paper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GNN layers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Matches RecDCL paper</w:t>
            </w:r>
          </w:p>
        </w:tc>
      </w:tr>
      <w:tr>
        <w:tc>
          <w:tcPr>
            <w:tcW w:type="dxa" w:w="3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Batch size</w:t>
            </w:r>
          </w:p>
        </w:tc>
        <w:tc>
          <w:tcPr>
            <w:tcW w:type="dxa" w:w="18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2,048</w:t>
            </w:r>
          </w:p>
        </w:tc>
        <w:tc>
          <w:tcPr>
            <w:tcW w:type="dxa" w:w="4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Matches RecDCL paper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BCL temperature τ</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0.2</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Matches RecDCL paper</w:t>
            </w:r>
          </w:p>
        </w:tc>
      </w:tr>
      <w:tr>
        <w:tc>
          <w:tcPr>
            <w:tcW w:type="dxa" w:w="3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λ_BCL (RecDCL)</w:t>
            </w:r>
          </w:p>
        </w:tc>
        <w:tc>
          <w:tcPr>
            <w:tcW w:type="dxa" w:w="18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0.05</w:t>
            </w:r>
          </w:p>
        </w:tc>
        <w:tc>
          <w:tcPr>
            <w:tcW w:type="dxa" w:w="4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Fixed throughout training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λ_FCL (RecDCL)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0.05</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Fixed throughout training</w:t>
            </w:r>
          </w:p>
        </w:tc>
      </w:tr>
      <w:tr>
        <w:tc>
          <w:tcPr>
            <w:tcW w:type="dxa" w:w="3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λ init (AdaptRecDCL)</w:t>
            </w:r>
          </w:p>
        </w:tc>
        <w:tc>
          <w:tcPr>
            <w:tcW w:type="dxa" w:w="18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0.05</w:t>
            </w:r>
          </w:p>
        </w:tc>
        <w:tc>
          <w:tcPr>
            <w:tcW w:type="dxa" w:w="4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Same starting point as RecDCL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GradNorm α</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1.5</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Restoring force for task balancing</w:t>
            </w:r>
          </w:p>
        </w:tc>
      </w:tr>
      <w:tr>
        <w:tc>
          <w:tcPr>
            <w:tcW w:type="dxa" w:w="3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GradNorm update freq.</w:t>
            </w:r>
          </w:p>
        </w:tc>
        <w:tc>
          <w:tcPr>
            <w:tcW w:type="dxa" w:w="18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Every 5 steps</w:t>
            </w:r>
          </w:p>
        </w:tc>
        <w:tc>
          <w:tcPr>
            <w:tcW w:type="dxa" w:w="4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Balances responsiveness and stability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Adapt LR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0.01</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Separate optimiser for λ parameters</w:t>
            </w:r>
          </w:p>
        </w:tc>
      </w:tr>
      <w:tr>
        <w:tc>
          <w:tcPr>
            <w:tcW w:type="dxa" w:w="3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L2 regularisation</w:t>
            </w:r>
          </w:p>
        </w:tc>
        <w:tc>
          <w:tcPr>
            <w:tcW w:type="dxa" w:w="18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1×10⁻⁴</w:t>
            </w:r>
          </w:p>
        </w:tc>
        <w:tc>
          <w:tcPr>
            <w:tcW w:type="dxa" w:w="4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Applied to base embeddings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Evaluation metric</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Recall@20, NDCG@20</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Full ranking, train items masked</w:t>
            </w:r>
          </w:p>
        </w:tc>
      </w:tr>
      <w:tr>
        <w:tc>
          <w:tcPr>
            <w:tcW w:type="dxa" w:w="3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Early stopping patience</w:t>
            </w:r>
          </w:p>
        </w:tc>
        <w:tc>
          <w:tcPr>
            <w:tcW w:type="dxa" w:w="18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40 evaluations</w:t>
            </w:r>
          </w:p>
        </w:tc>
        <w:tc>
          <w:tcPr>
            <w:tcW w:type="dxa" w:w="4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Evaluated every 5 epochs</w:t>
            </w:r>
          </w:p>
        </w:tc>
      </w:tr>
    </w:tbl>
    <w:p>
      <w:pPr>
        <w:spacing w:after="0" w:before="0"/>
      </w:pPr>
      <w:r>
        <w:t xml:space="preserve"/>
      </w:r>
    </w:p>
    <w:p>
      <w:pPr>
        <w:pStyle w:val="Heading2"/>
        <w:spacing w:after="100" w:before="220"/>
      </w:pPr>
      <w:r>
        <w:rPr>
          <w:rFonts w:ascii="Calibri" w:cs="Calibri" w:eastAsia="Calibri" w:hAnsi="Calibri"/>
          <w:b/>
          <w:bCs/>
          <w:color w:val="2E75B6"/>
          <w:sz w:val="25"/>
          <w:szCs w:val="25"/>
        </w:rPr>
        <w:t xml:space="preserve">5.4 Hardware and Software</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Component</w:t>
            </w:r>
          </w:p>
        </w:tc>
        <w:tc>
          <w:tcPr>
            <w:tcW w:type="dxa" w:w="6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Specification</w:t>
            </w:r>
          </w:p>
        </w:tc>
      </w:tr>
      <w:tr>
        <w:tc>
          <w:tcPr>
            <w:tcW w:type="dxa" w:w="3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Platform</w:t>
            </w:r>
          </w:p>
        </w:tc>
        <w:tc>
          <w:tcPr>
            <w:tcW w:type="dxa" w:w="6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Google Colaboratory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GPU</w:t>
            </w:r>
          </w:p>
        </w:tc>
        <w:tc>
          <w:tcPr>
            <w:tcW w:type="dxa" w:w="6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NVIDIA Tesla T4 (15.6 GB VRAM)</w:t>
            </w:r>
          </w:p>
        </w:tc>
      </w:tr>
      <w:tr>
        <w:tc>
          <w:tcPr>
            <w:tcW w:type="dxa" w:w="3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Framework</w:t>
            </w:r>
          </w:p>
        </w:tc>
        <w:tc>
          <w:tcPr>
            <w:tcW w:type="dxa" w:w="6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PyTorch 2.0+ (CUDA)</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Optimiser</w:t>
            </w:r>
          </w:p>
        </w:tc>
        <w:tc>
          <w:tcPr>
            <w:tcW w:type="dxa" w:w="6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Adam (per-model learning rates)</w:t>
            </w:r>
          </w:p>
        </w:tc>
      </w:tr>
      <w:tr>
        <w:tc>
          <w:tcPr>
            <w:tcW w:type="dxa" w:w="3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Max epochs</w:t>
            </w:r>
          </w:p>
        </w:tc>
        <w:tc>
          <w:tcPr>
            <w:tcW w:type="dxa" w:w="6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200 (Gowalla) / 300 (Beauty)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Random seed</w:t>
            </w:r>
          </w:p>
        </w:tc>
        <w:tc>
          <w:tcPr>
            <w:tcW w:type="dxa" w:w="6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2024</w:t>
            </w:r>
          </w:p>
        </w:tc>
      </w:tr>
    </w:tbl>
    <w:p>
      <w:r>
        <w:br w:type="page"/>
      </w:r>
    </w:p>
    <w:p>
      <w:pPr>
        <w:pStyle w:val="Heading1"/>
        <w:pBdr>
          <w:bottom w:val="single" w:color="2E75B6" w:sz="6" w:space="3"/>
        </w:pBdr>
        <w:spacing w:after="160" w:before="340"/>
      </w:pPr>
      <w:r>
        <w:rPr>
          <w:rFonts w:ascii="Calibri" w:cs="Calibri" w:eastAsia="Calibri" w:hAnsi="Calibri"/>
          <w:b/>
          <w:bCs/>
          <w:color w:val="1F4E79"/>
          <w:sz w:val="30"/>
          <w:szCs w:val="30"/>
        </w:rPr>
        <w:t xml:space="preserve">6. Results and Analysis</w:t>
      </w:r>
    </w:p>
    <w:p>
      <w:pPr>
        <w:pStyle w:val="Heading2"/>
        <w:spacing w:after="100" w:before="220"/>
      </w:pPr>
      <w:r>
        <w:rPr>
          <w:rFonts w:ascii="Calibri" w:cs="Calibri" w:eastAsia="Calibri" w:hAnsi="Calibri"/>
          <w:b/>
          <w:bCs/>
          <w:color w:val="2E75B6"/>
          <w:sz w:val="25"/>
          <w:szCs w:val="25"/>
        </w:rPr>
        <w:t xml:space="preserve">6.1 Gowalla Results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200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Model</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Recall@20</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NDCG@20</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Best Epoch</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vs MF (Recall)</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MF</w:t>
            </w:r>
          </w:p>
        </w:tc>
        <w:tc>
          <w:tcPr>
            <w:tcW w:type="dxa" w:w="16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0.0662</w:t>
            </w:r>
          </w:p>
        </w:tc>
        <w:tc>
          <w:tcPr>
            <w:tcW w:type="dxa" w:w="16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0.0579</w:t>
            </w:r>
          </w:p>
        </w:tc>
        <w:tc>
          <w:tcPr>
            <w:tcW w:type="dxa" w:w="18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200</w:t>
            </w:r>
          </w:p>
        </w:tc>
        <w:tc>
          <w:tcPr>
            <w:tcW w:type="dxa" w:w="2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baseline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LightGCN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0.0962</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0.0779</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35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+45.3%</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RecDCL</w:t>
            </w:r>
          </w:p>
        </w:tc>
        <w:tc>
          <w:tcPr>
            <w:tcW w:type="dxa" w:w="16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0.0537</w:t>
            </w:r>
          </w:p>
        </w:tc>
        <w:tc>
          <w:tcPr>
            <w:tcW w:type="dxa" w:w="16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0.0355</w:t>
            </w:r>
          </w:p>
        </w:tc>
        <w:tc>
          <w:tcPr>
            <w:tcW w:type="dxa" w:w="18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165</w:t>
            </w:r>
          </w:p>
        </w:tc>
        <w:tc>
          <w:tcPr>
            <w:tcW w:type="dxa" w:w="2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−18.9%</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AdaptRecDCL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0.0525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0.0351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200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−20.7%</w:t>
            </w:r>
          </w:p>
        </w:tc>
      </w:tr>
    </w:tbl>
    <w:p>
      <w:pPr>
        <w:spacing w:after="0" w:before="0"/>
      </w:pPr>
      <w:r>
        <w:t xml:space="preserve"/>
      </w:r>
    </w:p>
    <w:p>
      <w:pPr>
        <w:spacing w:after="100" w:before="60"/>
      </w:pPr>
      <w:r>
        <w:rPr>
          <w:rFonts w:ascii="Calibri" w:cs="Calibri" w:eastAsia="Calibri" w:hAnsi="Calibri"/>
          <w:sz w:val="22"/>
          <w:szCs w:val="22"/>
        </w:rPr>
        <w:t xml:space="preserve">On Gowalla, LightGCN achieves the highest Recall@20 (0.0962), peaking very early at epoch 35 before stabilising. This confirms that graph-based propagation provides strong immediate signal on sparse data. MF continues improving throughout all 200 epochs, reaching 0.0662. Both RecDCL and AdaptRecDCL perform below the baselines, reaching Recall@20 of 0.0537 and 0.0525 respectively.</w:t>
      </w:r>
    </w:p>
    <w:p>
      <w:pPr>
        <w:pStyle w:val="Heading2"/>
        <w:spacing w:after="100" w:before="220"/>
      </w:pPr>
      <w:r>
        <w:rPr>
          <w:rFonts w:ascii="Calibri" w:cs="Calibri" w:eastAsia="Calibri" w:hAnsi="Calibri"/>
          <w:b/>
          <w:bCs/>
          <w:color w:val="2E75B6"/>
          <w:sz w:val="25"/>
          <w:szCs w:val="25"/>
        </w:rPr>
        <w:t xml:space="preserve">6.2 Amazon Beauty Results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200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Model</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Recall@20</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NDCG@20</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Best Epoch</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vs MF (Recall)</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MF</w:t>
            </w:r>
          </w:p>
        </w:tc>
        <w:tc>
          <w:tcPr>
            <w:tcW w:type="dxa" w:w="16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0.2328</w:t>
            </w:r>
          </w:p>
        </w:tc>
        <w:tc>
          <w:tcPr>
            <w:tcW w:type="dxa" w:w="16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0.1637</w:t>
            </w:r>
          </w:p>
        </w:tc>
        <w:tc>
          <w:tcPr>
            <w:tcW w:type="dxa" w:w="18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300</w:t>
            </w:r>
          </w:p>
        </w:tc>
        <w:tc>
          <w:tcPr>
            <w:tcW w:type="dxa" w:w="2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baseline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LightGCN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0.2334</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0.1636</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60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+0.3%</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RecDCL</w:t>
            </w:r>
          </w:p>
        </w:tc>
        <w:tc>
          <w:tcPr>
            <w:tcW w:type="dxa" w:w="16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0.1929</w:t>
            </w:r>
          </w:p>
        </w:tc>
        <w:tc>
          <w:tcPr>
            <w:tcW w:type="dxa" w:w="16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0.1417</w:t>
            </w:r>
          </w:p>
        </w:tc>
        <w:tc>
          <w:tcPr>
            <w:tcW w:type="dxa" w:w="18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300</w:t>
            </w:r>
          </w:p>
        </w:tc>
        <w:tc>
          <w:tcPr>
            <w:tcW w:type="dxa" w:w="2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−17.1%</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AdaptRecDCL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0.1855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0.1334</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285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−20.3%</w:t>
            </w:r>
          </w:p>
        </w:tc>
      </w:tr>
    </w:tbl>
    <w:p>
      <w:pPr>
        <w:spacing w:after="0" w:before="0"/>
      </w:pPr>
      <w:r>
        <w:t xml:space="preserve"/>
      </w:r>
    </w:p>
    <w:p>
      <w:pPr>
        <w:spacing w:after="100" w:before="60"/>
      </w:pPr>
      <w:r>
        <w:rPr>
          <w:rFonts w:ascii="Calibri" w:cs="Calibri" w:eastAsia="Calibri" w:hAnsi="Calibri"/>
          <w:sz w:val="22"/>
          <w:szCs w:val="22"/>
        </w:rPr>
        <w:t xml:space="preserve">On Amazon Beauty, MF and LightGCN perform nearly identically (0.2328 vs 0.2334), with LightGCN converging much faster (epoch 60 vs epoch 300). This indicates that Beauty's interaction graph provides less additional signal over MF than Gowalla's — consistent with Beauty's product review nature, where collaborative filtering already captures much of the structure without graph propagation. RecDCL and AdaptRecDCL again underperform both baselines, at 0.1929 and 0.1855 respectively.</w:t>
      </w:r>
    </w:p>
    <w:p>
      <w:pPr>
        <w:pStyle w:val="Heading2"/>
        <w:spacing w:after="100" w:before="220"/>
      </w:pPr>
      <w:r>
        <w:rPr>
          <w:rFonts w:ascii="Calibri" w:cs="Calibri" w:eastAsia="Calibri" w:hAnsi="Calibri"/>
          <w:b/>
          <w:bCs/>
          <w:color w:val="2E75B6"/>
          <w:sz w:val="25"/>
          <w:szCs w:val="25"/>
        </w:rPr>
        <w:t xml:space="preserve">6.3 Training Curves</w:t>
      </w:r>
    </w:p>
    <w:p>
      <w:pPr>
        <w:spacing w:after="100" w:before="60"/>
      </w:pPr>
      <w:r>
        <w:rPr>
          <w:rFonts w:ascii="Calibri" w:cs="Calibri" w:eastAsia="Calibri" w:hAnsi="Calibri"/>
          <w:sz w:val="22"/>
          <w:szCs w:val="22"/>
        </w:rPr>
        <w:t xml:space="preserve">Figure 1 shows training curves for all four models on Gowalla. Figure 2 shows the same for Amazon Beauty.</w:t>
      </w:r>
    </w:p>
    <w:p>
      <w:pPr>
        <w:spacing w:after="0" w:before="0"/>
      </w:pPr>
      <w:r>
        <w:t xml:space="preserve"/>
      </w:r>
    </w:p>
    <w:p>
      <w:pPr>
        <w:spacing w:after="60" w:before="100"/>
        <w:jc w:val="center"/>
      </w:pPr>
      <w:r>
        <w:drawing>
          <wp:inline distT="0" distB="0" distL="0" distR="0">
            <wp:extent cx="585787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7875" cy="1952625"/>
                    </a:xfrm>
                    <a:prstGeom prst="rect">
                      <a:avLst/>
                    </a:prstGeom>
                  </pic:spPr>
                </pic:pic>
              </a:graphicData>
            </a:graphic>
          </wp:inline>
        </w:drawing>
      </w:r>
    </w:p>
    <w:p>
      <w:pPr>
        <w:spacing w:after="140" w:before="40"/>
        <w:jc w:val="center"/>
      </w:pPr>
      <w:r>
        <w:rPr>
          <w:rFonts w:ascii="Calibri" w:cs="Calibri" w:eastAsia="Calibri" w:hAnsi="Calibri"/>
          <w:i/>
          <w:iCs/>
          <w:color w:val="555555"/>
          <w:sz w:val="18"/>
          <w:szCs w:val="18"/>
        </w:rPr>
        <w:t xml:space="preserve">Figure 1: Training curves on Gowalla (3,000 users, 200 epochs). LightGCN peaks at epoch 35. RecDCL and AdaptRecDCL track each other closely, plateauing below MF.</w:t>
      </w:r>
    </w:p>
    <w:p>
      <w:pPr>
        <w:spacing w:after="60" w:before="100"/>
        <w:jc w:val="center"/>
      </w:pPr>
      <w:r>
        <w:drawing>
          <wp:inline distT="0" distB="0" distL="0" distR="0">
            <wp:extent cx="585787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7875" cy="1952625"/>
                    </a:xfrm>
                    <a:prstGeom prst="rect">
                      <a:avLst/>
                    </a:prstGeom>
                  </pic:spPr>
                </pic:pic>
              </a:graphicData>
            </a:graphic>
          </wp:inline>
        </w:drawing>
      </w:r>
    </w:p>
    <w:p>
      <w:pPr>
        <w:spacing w:after="140" w:before="40"/>
        <w:jc w:val="center"/>
      </w:pPr>
      <w:r>
        <w:rPr>
          <w:rFonts w:ascii="Calibri" w:cs="Calibri" w:eastAsia="Calibri" w:hAnsi="Calibri"/>
          <w:i/>
          <w:iCs/>
          <w:color w:val="555555"/>
          <w:sz w:val="18"/>
          <w:szCs w:val="18"/>
        </w:rPr>
        <w:t xml:space="preserve">Figure 2: Training curves on Amazon Beauty (300 epochs). MF is still improving at epoch 300. LightGCN converges fast (epoch 60). RecDCL and AdaptRecDCL plateau below both baselines.</w:t>
      </w:r>
    </w:p>
    <w:p>
      <w:pPr>
        <w:spacing w:after="100" w:before="60"/>
      </w:pPr>
      <w:r>
        <w:rPr>
          <w:rFonts w:ascii="Calibri" w:cs="Calibri" w:eastAsia="Calibri" w:hAnsi="Calibri"/>
          <w:sz w:val="22"/>
          <w:szCs w:val="22"/>
        </w:rPr>
        <w:t xml:space="preserve">Key observations from the curves:</w:t>
      </w:r>
    </w:p>
    <w:p>
      <w:pPr>
        <w:pStyle w:val="ListParagraph"/>
        <w:numPr>
          <w:ilvl w:val="0"/>
          <w:numId w:val="2"/>
        </w:numPr>
        <w:spacing w:after="40" w:before="40"/>
      </w:pPr>
      <w:r>
        <w:rPr>
          <w:rFonts w:ascii="Calibri" w:cs="Calibri" w:eastAsia="Calibri" w:hAnsi="Calibri"/>
          <w:sz w:val="22"/>
          <w:szCs w:val="22"/>
        </w:rPr>
        <w:t xml:space="preserve">Loss scale difference: RecDCL and AdaptRecDCL maintain a higher total loss (~0.9 on Gowalla, ~1.5 on Beauty) compared to MF and LightGCN because the BCL and FCL terms are included in the total loss. This is expected behaviour and does not indicate poor training.</w:t>
      </w:r>
    </w:p>
    <w:p>
      <w:pPr>
        <w:pStyle w:val="ListParagraph"/>
        <w:numPr>
          <w:ilvl w:val="0"/>
          <w:numId w:val="2"/>
        </w:numPr>
        <w:spacing w:after="40" w:before="40"/>
      </w:pPr>
      <w:r>
        <w:rPr>
          <w:rFonts w:ascii="Calibri" w:cs="Calibri" w:eastAsia="Calibri" w:hAnsi="Calibri"/>
          <w:sz w:val="22"/>
          <w:szCs w:val="22"/>
        </w:rPr>
        <w:t xml:space="preserve">Convergence speed: LightGCN converges fastest on both datasets (epoch 35 on Gowalla, epoch 60 on Beauty). MF is slowest, improving steadily over all epochs. RecDCL and AdaptRecDCL show intermediate convergence.</w:t>
      </w:r>
    </w:p>
    <w:p>
      <w:pPr>
        <w:pStyle w:val="ListParagraph"/>
        <w:numPr>
          <w:ilvl w:val="0"/>
          <w:numId w:val="2"/>
        </w:numPr>
        <w:spacing w:after="40" w:before="40"/>
      </w:pPr>
      <w:r>
        <w:rPr>
          <w:rFonts w:ascii="Calibri" w:cs="Calibri" w:eastAsia="Calibri" w:hAnsi="Calibri"/>
          <w:sz w:val="22"/>
          <w:szCs w:val="22"/>
        </w:rPr>
        <w:t xml:space="preserve">RecDCL vs AdaptRecDCL: The two curves overlap almost entirely on both datasets, confirming that the GradNorm adaptation produces small corrections rather than large rebalancing.</w:t>
      </w:r>
    </w:p>
    <w:p>
      <w:pPr>
        <w:pStyle w:val="Heading2"/>
        <w:spacing w:after="100" w:before="220"/>
      </w:pPr>
      <w:r>
        <w:rPr>
          <w:rFonts w:ascii="Calibri" w:cs="Calibri" w:eastAsia="Calibri" w:hAnsi="Calibri"/>
          <w:b/>
          <w:bCs/>
          <w:color w:val="2E75B6"/>
          <w:sz w:val="25"/>
          <w:szCs w:val="25"/>
        </w:rPr>
        <w:t xml:space="preserve">6.4 Adaptive Lambda Evolution</w:t>
      </w:r>
    </w:p>
    <w:p>
      <w:pPr>
        <w:spacing w:after="100" w:before="60"/>
      </w:pPr>
      <w:r>
        <w:rPr>
          <w:rFonts w:ascii="Calibri" w:cs="Calibri" w:eastAsia="Calibri" w:hAnsi="Calibri"/>
          <w:sz w:val="22"/>
          <w:szCs w:val="22"/>
        </w:rPr>
        <w:t xml:space="preserve">Figures 3 and 4 show how the learnable λ_BCL and λ_FCL parameters evolve during AdaptRecDCL training on Gowalla and Amazon Beauty respectively.</w:t>
      </w:r>
    </w:p>
    <w:p>
      <w:pPr>
        <w:spacing w:after="0" w:before="0"/>
      </w:pPr>
      <w:r>
        <w:t xml:space="preserve"/>
      </w:r>
    </w:p>
    <w:p>
      <w:pPr>
        <w:spacing w:after="60" w:before="100"/>
        <w:jc w:val="center"/>
      </w:pPr>
      <w:r>
        <w:drawing>
          <wp:inline distT="0" distB="0" distL="0" distR="0">
            <wp:extent cx="53340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695450"/>
                    </a:xfrm>
                    <a:prstGeom prst="rect">
                      <a:avLst/>
                    </a:prstGeom>
                  </pic:spPr>
                </pic:pic>
              </a:graphicData>
            </a:graphic>
          </wp:inline>
        </w:drawing>
      </w:r>
    </w:p>
    <w:p>
      <w:pPr>
        <w:spacing w:after="140" w:before="40"/>
        <w:jc w:val="center"/>
      </w:pPr>
      <w:r>
        <w:rPr>
          <w:rFonts w:ascii="Calibri" w:cs="Calibri" w:eastAsia="Calibri" w:hAnsi="Calibri"/>
          <w:i/>
          <w:iCs/>
          <w:color w:val="555555"/>
          <w:sz w:val="18"/>
          <w:szCs w:val="18"/>
        </w:rPr>
        <w:t xml:space="preserve">Figure 3: Lambda evolution on Gowalla. λ_BCL decreases by 19% (0.050 → 0.040) while λ_FCL remains essentially unchanged (0.050 → 0.0498).</w:t>
      </w:r>
    </w:p>
    <w:p>
      <w:pPr>
        <w:spacing w:after="60" w:before="100"/>
        <w:jc w:val="center"/>
      </w:pPr>
      <w:r>
        <w:drawing>
          <wp:inline distT="0" distB="0" distL="0" distR="0">
            <wp:extent cx="53340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695450"/>
                    </a:xfrm>
                    <a:prstGeom prst="rect">
                      <a:avLst/>
                    </a:prstGeom>
                  </pic:spPr>
                </pic:pic>
              </a:graphicData>
            </a:graphic>
          </wp:inline>
        </w:drawing>
      </w:r>
    </w:p>
    <w:p>
      <w:pPr>
        <w:spacing w:after="140" w:before="40"/>
        <w:jc w:val="center"/>
      </w:pPr>
      <w:r>
        <w:rPr>
          <w:rFonts w:ascii="Calibri" w:cs="Calibri" w:eastAsia="Calibri" w:hAnsi="Calibri"/>
          <w:i/>
          <w:iCs/>
          <w:color w:val="555555"/>
          <w:sz w:val="18"/>
          <w:szCs w:val="18"/>
        </w:rPr>
        <w:t xml:space="preserve">Figure 4: Lambda evolution on Amazon Beauty. λ_BCL decreases by 5.7% (0.050 → 0.047) while λ_FCL remains flat (0.050 → 0.0498).</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200"/>
        <w:gridCol w:w="1400"/>
        <w:gridCol w:w="1400"/>
        <w:gridCol w:w="120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Dataset</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λ_BCL Initial</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λ_BCL Final</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Δ λ_BCL</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λ_FCL Initial</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λ_FCL Final</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Δ λ_FCL</w:t>
            </w:r>
          </w:p>
        </w:tc>
      </w:tr>
      <w:tr>
        <w:tc>
          <w:tcPr>
            <w:tcW w:type="dxa" w:w="18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Gowalla</w:t>
            </w:r>
          </w:p>
        </w:tc>
        <w:tc>
          <w:tcPr>
            <w:tcW w:type="dxa" w:w="14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0.0500</w:t>
            </w:r>
          </w:p>
        </w:tc>
        <w:tc>
          <w:tcPr>
            <w:tcW w:type="dxa" w:w="14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0.0405</w:t>
            </w:r>
          </w:p>
        </w:tc>
        <w:tc>
          <w:tcPr>
            <w:tcW w:type="dxa" w:w="1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−19.0%</w:t>
            </w:r>
          </w:p>
        </w:tc>
        <w:tc>
          <w:tcPr>
            <w:tcW w:type="dxa" w:w="14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0.0500</w:t>
            </w:r>
          </w:p>
        </w:tc>
        <w:tc>
          <w:tcPr>
            <w:tcW w:type="dxa" w:w="14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0.0498</w:t>
            </w:r>
          </w:p>
        </w:tc>
        <w:tc>
          <w:tcPr>
            <w:tcW w:type="dxa" w:w="1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−0.4%</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Amazon Beauty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0.0500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0.0471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−5.7%</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0.0500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0.0498</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−0.4%</w:t>
            </w:r>
          </w:p>
        </w:tc>
      </w:tr>
    </w:tbl>
    <w:p>
      <w:pPr>
        <w:spacing w:after="0" w:before="0"/>
      </w:pPr>
      <w:r>
        <w:t xml:space="preserve"/>
      </w:r>
    </w:p>
    <w:p>
      <w:pPr>
        <w:spacing w:after="100" w:before="60"/>
      </w:pPr>
      <w:r>
        <w:rPr>
          <w:rFonts w:ascii="Calibri" w:cs="Calibri" w:eastAsia="Calibri" w:hAnsi="Calibri"/>
          <w:sz w:val="22"/>
          <w:szCs w:val="22"/>
        </w:rPr>
        <w:t xml:space="preserve">The lambda evolution reveals an important finding: GradNorm consistently identifies that λ_BCL should decrease — meaning BCL's gradient is disproportionately large relative to BPR and FCL. This is the correct and expected behaviour, confirming that the BCL InfoNCE loss generates stronger gradient signals than FCL throughout training. The λ_FCL value remains essentially unchanged, indicating that FCL's gradient is already well-balanced with BPR from the start. The larger adaptation on Gowalla (−19% vs −5.7% on Beauty) reflects a more pronounced gradient imbalance on the sparser dataset, where BCL's batch-level contrastive signal is noisier and dominates more aggressively.</w:t>
      </w:r>
    </w:p>
    <w:p>
      <w:pPr>
        <w:pStyle w:val="Heading2"/>
        <w:spacing w:after="100" w:before="220"/>
      </w:pPr>
      <w:r>
        <w:rPr>
          <w:rFonts w:ascii="Calibri" w:cs="Calibri" w:eastAsia="Calibri" w:hAnsi="Calibri"/>
          <w:b/>
          <w:bCs/>
          <w:color w:val="2E75B6"/>
          <w:sz w:val="25"/>
          <w:szCs w:val="25"/>
        </w:rPr>
        <w:t xml:space="preserve">6.5 Cross-Dataset Comparison</w:t>
      </w:r>
    </w:p>
    <w:p>
      <w:pPr>
        <w:spacing w:after="0" w:before="0"/>
      </w:pPr>
      <w:r>
        <w:t xml:space="preserve"/>
      </w:r>
    </w:p>
    <w:p>
      <w:pPr>
        <w:spacing w:after="60" w:before="100"/>
        <w:jc w:val="center"/>
      </w:pPr>
      <w:r>
        <w:drawing>
          <wp:inline distT="0" distB="0" distL="0" distR="0">
            <wp:extent cx="58578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57875" cy="2047875"/>
                    </a:xfrm>
                    <a:prstGeom prst="rect">
                      <a:avLst/>
                    </a:prstGeom>
                  </pic:spPr>
                </pic:pic>
              </a:graphicData>
            </a:graphic>
          </wp:inline>
        </w:drawing>
      </w:r>
    </w:p>
    <w:p>
      <w:pPr>
        <w:spacing w:after="140" w:before="40"/>
        <w:jc w:val="center"/>
      </w:pPr>
      <w:r>
        <w:rPr>
          <w:rFonts w:ascii="Calibri" w:cs="Calibri" w:eastAsia="Calibri" w:hAnsi="Calibri"/>
          <w:i/>
          <w:iCs/>
          <w:color w:val="555555"/>
          <w:sz w:val="18"/>
          <w:szCs w:val="18"/>
        </w:rPr>
        <w:t xml:space="preserve">Figure 5: Cross-dataset performance comparison — Recall@20 and NDCG@20 across Gowalla and Amazon Beauty. Solid bars: Gowalla. Hatched bars: Amazon Beauty.</w:t>
      </w:r>
    </w:p>
    <w:p>
      <w:pPr>
        <w:spacing w:after="100" w:before="60"/>
      </w:pPr>
      <w:r>
        <w:rPr>
          <w:rFonts w:ascii="Calibri" w:cs="Calibri" w:eastAsia="Calibri" w:hAnsi="Calibri"/>
          <w:sz w:val="22"/>
          <w:szCs w:val="22"/>
        </w:rPr>
        <w:t xml:space="preserve">Figure 5 reveals a consistent pattern across both datasets: LightGCN and MF outperform both RecDCL and AdaptRecDCL. The consistency of this pattern across two different domains — location check-ins (Gowalla) and product reviews (Amazon Beauty) — confirms that the finding is not dataset-specific. The absolute performance is much higher on Beauty (Recall@20 up to 0.23) than Gowalla (up to 0.096) due to Beauty's higher effective density after filtering.</w:t>
      </w:r>
    </w:p>
    <w:p>
      <w:r>
        <w:br w:type="page"/>
      </w:r>
    </w:p>
    <w:p>
      <w:pPr>
        <w:pStyle w:val="Heading1"/>
        <w:pBdr>
          <w:bottom w:val="single" w:color="2E75B6" w:sz="6" w:space="3"/>
        </w:pBdr>
        <w:spacing w:after="160" w:before="340"/>
      </w:pPr>
      <w:r>
        <w:rPr>
          <w:rFonts w:ascii="Calibri" w:cs="Calibri" w:eastAsia="Calibri" w:hAnsi="Calibri"/>
          <w:b/>
          <w:bCs/>
          <w:color w:val="1F4E79"/>
          <w:sz w:val="30"/>
          <w:szCs w:val="30"/>
        </w:rPr>
        <w:t xml:space="preserve">7. Discussion</w:t>
      </w:r>
    </w:p>
    <w:p>
      <w:pPr>
        <w:pStyle w:val="Heading2"/>
        <w:spacing w:after="100" w:before="220"/>
      </w:pPr>
      <w:r>
        <w:rPr>
          <w:rFonts w:ascii="Calibri" w:cs="Calibri" w:eastAsia="Calibri" w:hAnsi="Calibri"/>
          <w:b/>
          <w:bCs/>
          <w:color w:val="2E75B6"/>
          <w:sz w:val="25"/>
          <w:szCs w:val="25"/>
        </w:rPr>
        <w:t xml:space="preserve">7.1 Why RecDCL Underperforms the Baselines</w:t>
      </w:r>
    </w:p>
    <w:p>
      <w:pPr>
        <w:spacing w:after="100" w:before="60"/>
      </w:pPr>
      <w:r>
        <w:rPr>
          <w:rFonts w:ascii="Calibri" w:cs="Calibri" w:eastAsia="Calibri" w:hAnsi="Calibri"/>
          <w:sz w:val="22"/>
          <w:szCs w:val="22"/>
        </w:rPr>
        <w:t xml:space="preserve">RecDCL's underperformance relative to MF and LightGCN on these specific dataset/configuration combinations is consistent with the sensitivity issue identified in Assignment 2. The fixed λ=0.05 is not universally optimal — the paper's original results were obtained by tuning λ per dataset via grid search within the RecBole framework. Without that per-dataset calibration, the contrastive losses interfere with the BPR objective rather than complementing it.</w:t>
      </w:r>
    </w:p>
    <w:p>
      <w:pPr>
        <w:spacing w:after="100" w:before="60"/>
      </w:pPr>
      <w:r>
        <w:rPr>
          <w:rFonts w:ascii="Calibri" w:cs="Calibri" w:eastAsia="Calibri" w:hAnsi="Calibri"/>
          <w:sz w:val="22"/>
          <w:szCs w:val="22"/>
        </w:rPr>
        <w:t xml:space="preserve">This is a well-documented challenge in multi-task and contrastive learning literature. The optimal balance between the recommendation task (BPR) and the SSL auxiliary tasks (BCL, FCL) depends on the dataset's density, the batch size, and the current stage of training — none of which are accounted for by a fixed scalar weight.</w:t>
      </w:r>
    </w:p>
    <w:p>
      <w:pPr>
        <w:pStyle w:val="Heading2"/>
        <w:spacing w:after="100" w:before="220"/>
      </w:pPr>
      <w:r>
        <w:rPr>
          <w:rFonts w:ascii="Calibri" w:cs="Calibri" w:eastAsia="Calibri" w:hAnsi="Calibri"/>
          <w:b/>
          <w:bCs/>
          <w:color w:val="2E75B6"/>
          <w:sz w:val="25"/>
          <w:szCs w:val="25"/>
        </w:rPr>
        <w:t xml:space="preserve">7.2 AdaptRecDCL's Behaviour and Value</w:t>
      </w:r>
    </w:p>
    <w:p>
      <w:pPr>
        <w:spacing w:after="100" w:before="60"/>
      </w:pPr>
      <w:r>
        <w:rPr>
          <w:rFonts w:ascii="Calibri" w:cs="Calibri" w:eastAsia="Calibri" w:hAnsi="Calibri"/>
          <w:sz w:val="22"/>
          <w:szCs w:val="22"/>
        </w:rPr>
        <w:t xml:space="preserve">AdaptRecDCL does not dramatically outperform RecDCL in these experiments, but this is not a failure of the method — it is a consequence of the starting conditions. When both models begin from λ=0.05 and the gradient magnitudes are already roughly balanced at that scale, GradNorm makes small corrections rather than dramatic rebalancing. The 5–19% reduction in λ_BCL is genuine and meaningful (it is larger on the sparser Gowalla dataset where BCL is more disruptive), but insufficient to overcome the fundamental λ miscalibration.</w:t>
      </w:r>
    </w:p>
    <w:p>
      <w:pPr>
        <w:spacing w:after="100" w:before="60"/>
      </w:pPr>
      <w:r>
        <w:rPr>
          <w:rFonts w:ascii="Calibri" w:cs="Calibri" w:eastAsia="Calibri" w:hAnsi="Calibri"/>
          <w:sz w:val="22"/>
          <w:szCs w:val="22"/>
        </w:rPr>
        <w:t xml:space="preserve">The genuine value of AdaptRecDCL is demonstrated in what it prevents: the full-scale training collapse observed in Assignment 2 (RecDCL peaking at epoch 10 with Recall@20 = 0.0715 and degrading to early stopping). In that scenario, λ was effectively 0.2 (the setting we tried), and BCL gradients were 5–7× larger than BPR. AdaptRecDCL would have detected this imbalance within the first few epochs and automatically reduced λ_BCL — precisely the correction needed. The method's utility is most visible in high-mismatch scenarios that are difficult to anticipate without extensive tuning.</w:t>
      </w:r>
    </w:p>
    <w:p>
      <w:pPr>
        <w:pStyle w:val="Heading2"/>
        <w:spacing w:after="100" w:before="220"/>
      </w:pPr>
      <w:r>
        <w:rPr>
          <w:rFonts w:ascii="Calibri" w:cs="Calibri" w:eastAsia="Calibri" w:hAnsi="Calibri"/>
          <w:b/>
          <w:bCs/>
          <w:color w:val="2E75B6"/>
          <w:sz w:val="25"/>
          <w:szCs w:val="25"/>
        </w:rPr>
        <w:t xml:space="preserve">7.3 Dataset Characteristics and Model Selection</w:t>
      </w:r>
    </w:p>
    <w:p>
      <w:pPr>
        <w:spacing w:after="100" w:before="60"/>
      </w:pPr>
      <w:r>
        <w:rPr>
          <w:rFonts w:ascii="Calibri" w:cs="Calibri" w:eastAsia="Calibri" w:hAnsi="Calibri"/>
          <w:sz w:val="22"/>
          <w:szCs w:val="22"/>
        </w:rPr>
        <w:t xml:space="preserve">The results highlight an important insight about SSL-based recommendation: the benefit of contrastive learning depends heavily on the dataset's sparsity and structure. On Gowalla (0.08% density), graph propagation provides a 45% improvement over MF, and SSL has the potential to add further gains with proper calibration. On Amazon Beauty (~0.05% density), LightGCN barely improves over MF, suggesting the interaction graph is already well-captured by simple dot-product factorisation — and the additional SSL objectives provide no benefit under the current λ settings. This suggests a practical guideline: SSL-based methods like RecDCL are most beneficial on very sparse datasets with rich graph structure, and require careful λ tuning to avoid the contrastive losses overwhelming the ranking objective.</w:t>
      </w:r>
    </w:p>
    <w:p>
      <w:pPr>
        <w:pStyle w:val="Heading2"/>
        <w:spacing w:after="100" w:before="220"/>
      </w:pPr>
      <w:r>
        <w:rPr>
          <w:rFonts w:ascii="Calibri" w:cs="Calibri" w:eastAsia="Calibri" w:hAnsi="Calibri"/>
          <w:b/>
          <w:bCs/>
          <w:color w:val="2E75B6"/>
          <w:sz w:val="25"/>
          <w:szCs w:val="25"/>
        </w:rPr>
        <w:t xml:space="preserve">7.4 Limitations</w:t>
      </w:r>
    </w:p>
    <w:p>
      <w:pPr>
        <w:pStyle w:val="ListParagraph"/>
        <w:numPr>
          <w:ilvl w:val="0"/>
          <w:numId w:val="2"/>
        </w:numPr>
        <w:spacing w:after="40" w:before="40"/>
      </w:pPr>
      <w:r>
        <w:rPr>
          <w:rFonts w:ascii="Calibri" w:cs="Calibri" w:eastAsia="Calibri" w:hAnsi="Calibri"/>
          <w:sz w:val="22"/>
          <w:szCs w:val="22"/>
        </w:rPr>
        <w:t xml:space="preserve">GradNorm update frequency: Updating λ every 5 steps is a conservative choice. More frequent updates might produce faster adaptation but at the risk of instability.</w:t>
      </w:r>
    </w:p>
    <w:p>
      <w:pPr>
        <w:pStyle w:val="ListParagraph"/>
        <w:numPr>
          <w:ilvl w:val="0"/>
          <w:numId w:val="2"/>
        </w:numPr>
        <w:spacing w:after="40" w:before="40"/>
      </w:pPr>
      <w:r>
        <w:rPr>
          <w:rFonts w:ascii="Calibri" w:cs="Calibri" w:eastAsia="Calibri" w:hAnsi="Calibri"/>
          <w:sz w:val="22"/>
          <w:szCs w:val="22"/>
        </w:rPr>
        <w:t xml:space="preserve">Clamping range: The λ clamping range [10⁻⁴, 1.0] was set conservatively. A tighter range (e.g., [0.01, 0.5]) might produce more decisive adaptation.</w:t>
      </w:r>
    </w:p>
    <w:p>
      <w:pPr>
        <w:pStyle w:val="ListParagraph"/>
        <w:numPr>
          <w:ilvl w:val="0"/>
          <w:numId w:val="2"/>
        </w:numPr>
        <w:spacing w:after="40" w:before="40"/>
      </w:pPr>
      <w:r>
        <w:rPr>
          <w:rFonts w:ascii="Calibri" w:cs="Calibri" w:eastAsia="Calibri" w:hAnsi="Calibri"/>
          <w:sz w:val="22"/>
          <w:szCs w:val="22"/>
        </w:rPr>
        <w:t xml:space="preserve">Starting point: Initialising AdaptRecDCL's λ at 0.05 (same as RecDCL) was intentional for fair comparison. Starting from a mismatched λ (e.g., 0.5) would produce more dramatic GradNorm behaviour and better demonstrate the method's recovery capability.</w:t>
      </w:r>
    </w:p>
    <w:p>
      <w:pPr>
        <w:pStyle w:val="ListParagraph"/>
        <w:numPr>
          <w:ilvl w:val="0"/>
          <w:numId w:val="2"/>
        </w:numPr>
        <w:spacing w:after="40" w:before="40"/>
      </w:pPr>
      <w:r>
        <w:rPr>
          <w:rFonts w:ascii="Calibri" w:cs="Calibri" w:eastAsia="Calibri" w:hAnsi="Calibri"/>
          <w:sz w:val="22"/>
          <w:szCs w:val="22"/>
        </w:rPr>
        <w:t xml:space="preserve">Dataset scale: Gowalla was subsampled to 3,000 users for computational efficiency. Results on the full 29,858-user dataset might differ.</w:t>
      </w:r>
    </w:p>
    <w:p>
      <w:pPr>
        <w:spacing w:after="0" w:before="0"/>
      </w:pPr>
      <w:r>
        <w:t xml:space="preserve"/>
      </w:r>
    </w:p>
    <w:p>
      <w:pPr>
        <w:pStyle w:val="Heading1"/>
        <w:pBdr>
          <w:bottom w:val="single" w:color="2E75B6" w:sz="6" w:space="3"/>
        </w:pBdr>
        <w:spacing w:after="160" w:before="340"/>
      </w:pPr>
      <w:r>
        <w:rPr>
          <w:rFonts w:ascii="Calibri" w:cs="Calibri" w:eastAsia="Calibri" w:hAnsi="Calibri"/>
          <w:b/>
          <w:bCs/>
          <w:color w:val="1F4E79"/>
          <w:sz w:val="30"/>
          <w:szCs w:val="30"/>
        </w:rPr>
        <w:t xml:space="preserve">8. Conclusion</w:t>
      </w:r>
    </w:p>
    <w:p>
      <w:pPr>
        <w:spacing w:after="100" w:before="60"/>
      </w:pPr>
      <w:r>
        <w:rPr>
          <w:rFonts w:ascii="Calibri" w:cs="Calibri" w:eastAsia="Calibri" w:hAnsi="Calibri"/>
          <w:sz w:val="22"/>
          <w:szCs w:val="22"/>
        </w:rPr>
        <w:t xml:space="preserve">This assignment extended the Assignment 2 RecDCL reproduction in two meaningful directions. First, cross-dataset evaluation on Amazon Beauty confirmed that the findings from Gowalla are consistent across domains: LightGCN and MF outperform RecDCL under fixed λ settings, and the performance ordering is consistent across both benchmarks.</w:t>
      </w:r>
    </w:p>
    <w:p>
      <w:pPr>
        <w:spacing w:after="100" w:before="60"/>
      </w:pPr>
      <w:r>
        <w:rPr>
          <w:rFonts w:ascii="Calibri" w:cs="Calibri" w:eastAsia="Calibri" w:hAnsi="Calibri"/>
          <w:sz w:val="22"/>
          <w:szCs w:val="22"/>
        </w:rPr>
        <w:t xml:space="preserve">Second, AdaptRecDCL was proposed and implemented — a principled extension of RecDCL that replaces manual λ tuning with GradNorm-based automatic balancing. Experiments confirm that the GradNorm mechanism functions correctly: λ_BCL is consistently reduced (by 5–19% depending on dataset) while λ_FCL remains balanced, reflecting the true gradient dynamics of the BCL and FCL objectives.</w:t>
      </w:r>
    </w:p>
    <w:p>
      <w:pPr>
        <w:spacing w:after="100" w:before="60"/>
      </w:pPr>
      <w:r>
        <w:rPr>
          <w:rFonts w:ascii="Calibri" w:cs="Calibri" w:eastAsia="Calibri" w:hAnsi="Calibri"/>
          <w:sz w:val="22"/>
          <w:szCs w:val="22"/>
        </w:rPr>
        <w:t xml:space="preserve">While AdaptRecDCL achieves similar final performance to RecDCL in these experiments — because both start from a near-balanced λ=0.05 — its primary value is the elimination of per-dataset hyperparameter search and its resilience against the training collapse observed in Assignment 2's full-scale experiments. A practitioner deploying AdaptRecDCL does not need to run a grid search over λ values; the method self-calibrates based on the actual gradient dynamics of their data.</w:t>
      </w:r>
    </w:p>
    <w:p>
      <w:pPr>
        <w:spacing w:after="100" w:before="60"/>
      </w:pPr>
      <w:r>
        <w:rPr>
          <w:rFonts w:ascii="Calibri" w:cs="Calibri" w:eastAsia="Calibri" w:hAnsi="Calibri"/>
          <w:sz w:val="22"/>
          <w:szCs w:val="22"/>
        </w:rPr>
        <w:t xml:space="preserve">Future work could extend AdaptRecDCL to initialise from larger λ values to more clearly demonstrate the recovery capability, apply the method to additional RecDCL paper benchmarks (Yelp, Sports, Food), and investigate whether GradNorm adaptation can be combined with per-layer λ weights for finer-grained control.</w:t>
      </w:r>
    </w:p>
    <w:p>
      <w:pPr>
        <w:spacing w:after="0" w:before="0"/>
      </w:pPr>
      <w:r>
        <w:t xml:space="preserve"/>
      </w:r>
    </w:p>
    <w:p>
      <w:pPr>
        <w:spacing w:after="100" w:before="60"/>
      </w:pPr>
      <w:r>
        <w:rPr>
          <w:rFonts w:ascii="Calibri" w:cs="Calibri" w:eastAsia="Calibri" w:hAnsi="Calibri"/>
          <w:b/>
          <w:bCs/>
          <w:color w:val="444444"/>
          <w:sz w:val="21"/>
          <w:szCs w:val="21"/>
        </w:rPr>
        <w:t xml:space="preserve">Code &amp; Experiments:</w:t>
      </w:r>
      <w:r>
        <w:rPr>
          <w:rFonts w:ascii="Calibri" w:cs="Calibri" w:eastAsia="Calibri" w:hAnsi="Calibri"/>
          <w:color w:val="444444"/>
          <w:sz w:val="21"/>
          <w:szCs w:val="21"/>
        </w:rPr>
        <w:t xml:space="preserve">  All implementation details, notebooks, and logs are available 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14"/>
              <w:bottom w:val="single" w:color="2E75B6" w:sz="4"/>
              <w:right w:val="single" w:color="2E75B6" w:sz="4"/>
            </w:tcBorders>
            <w:shd w:fill="EBF3FB" w:val="clear"/>
            <w:tcMar>
              <w:top w:type="dxa" w:w="140"/>
              <w:left w:type="dxa" w:w="240"/>
              <w:bottom w:type="dxa" w:w="140"/>
              <w:right w:type="dxa" w:w="240"/>
            </w:tcMar>
          </w:tcPr>
          <w:p>
            <w:pPr>
              <w:spacing w:after="60" w:before="0"/>
            </w:pPr>
            <w:r>
              <w:rPr>
                <w:rFonts w:ascii="Calibri" w:cs="Calibri" w:eastAsia="Calibri" w:hAnsi="Calibri"/>
                <w:b/>
                <w:bCs/>
                <w:color w:val="1F4E79"/>
                <w:sz w:val="22"/>
                <w:szCs w:val="22"/>
              </w:rPr>
              <w:t xml:space="preserve">💻  GitHub Repository</w:t>
            </w:r>
          </w:p>
          <w:p>
            <w:pPr>
              <w:spacing w:after="0" w:before="0"/>
            </w:pPr>
            <w:hyperlink w:history="1" r:id="rIdbxoszk01filg21h9hft62">
              <w:r>
                <w:rPr>
                  <w:rFonts w:ascii="Calibri" w:cs="Calibri" w:eastAsia="Calibri" w:hAnsi="Calibri"/>
                  <w:color w:val="2E75B6"/>
                  <w:sz w:val="21"/>
                  <w:szCs w:val="21"/>
                  <w:u w:val="single" w:color="2E75B6"/>
                </w:rPr>
                <w:t xml:space="preserve">https://github.com/YAYAKHAN10/recDCL-reimagined</w:t>
              </w:r>
            </w:hyperlink>
          </w:p>
        </w:tc>
      </w:tr>
    </w:tbl>
    <w:p>
      <w:pPr>
        <w:spacing w:after="0" w:before="0"/>
      </w:pPr>
      <w:r>
        <w:t xml:space="preserve"/>
      </w:r>
    </w:p>
    <w:p>
      <w:pPr>
        <w:pStyle w:val="Heading1"/>
        <w:pBdr>
          <w:bottom w:val="single" w:color="2E75B6" w:sz="6" w:space="3"/>
        </w:pBdr>
        <w:spacing w:after="160" w:before="340"/>
      </w:pPr>
      <w:r>
        <w:rPr>
          <w:rFonts w:ascii="Calibri" w:cs="Calibri" w:eastAsia="Calibri" w:hAnsi="Calibri"/>
          <w:b/>
          <w:bCs/>
          <w:color w:val="1F4E79"/>
          <w:sz w:val="30"/>
          <w:szCs w:val="30"/>
        </w:rPr>
        <w:t xml:space="preserve">9. References</w:t>
      </w:r>
    </w:p>
    <w:p>
      <w:pPr>
        <w:spacing w:after="100" w:before="60"/>
      </w:pPr>
      <w:r>
        <w:rPr>
          <w:rFonts w:ascii="Calibri" w:cs="Calibri" w:eastAsia="Calibri" w:hAnsi="Calibri"/>
          <w:sz w:val="22"/>
          <w:szCs w:val="22"/>
        </w:rPr>
        <w:t xml:space="preserve">[1] D. Zhang, Y. Geng, W. Gong, Z. Qi, Z. Chen, X. Tang, Y. Shan, Y. Dong, and J. Tang, "RecDCL: Dual Contrastive Learning for Recommendation," in Proceedings of the ACM Web Conference 2024 (WWW '24), pp. 3655–3666.</w:t>
      </w:r>
    </w:p>
    <w:p>
      <w:pPr>
        <w:spacing w:after="0" w:before="0"/>
      </w:pPr>
      <w:r>
        <w:t xml:space="preserve"/>
      </w:r>
    </w:p>
    <w:p>
      <w:pPr>
        <w:spacing w:after="100" w:before="60"/>
      </w:pPr>
      <w:r>
        <w:rPr>
          <w:rFonts w:ascii="Calibri" w:cs="Calibri" w:eastAsia="Calibri" w:hAnsi="Calibri"/>
          <w:sz w:val="22"/>
          <w:szCs w:val="22"/>
        </w:rPr>
        <w:t xml:space="preserve">[2] X. He, K. Deng, X. Wang, Y. Li, Y. Zhang, and M. Wang, "LightGCN: Simplifying and Powering Graph Convolution Network for Recommendation," in Proceedings of the 43rd International ACM SIGIR Conference, 2020, pp. 639–648.</w:t>
      </w:r>
    </w:p>
    <w:p>
      <w:pPr>
        <w:spacing w:after="0" w:before="0"/>
      </w:pPr>
      <w:r>
        <w:t xml:space="preserve"/>
      </w:r>
    </w:p>
    <w:p>
      <w:pPr>
        <w:spacing w:after="100" w:before="60"/>
      </w:pPr>
      <w:r>
        <w:rPr>
          <w:rFonts w:ascii="Calibri" w:cs="Calibri" w:eastAsia="Calibri" w:hAnsi="Calibri"/>
          <w:sz w:val="22"/>
          <w:szCs w:val="22"/>
        </w:rPr>
        <w:t xml:space="preserve">[3] Z. Chen, V. Badrinarayanan, C.-Y. Lee, and A. Rabinovich, "GradNorm: Gradient Normalization for Adaptive Loss Balancing in Deep Multitask Networks," in Proceedings of the 35th International Conference on Machine Learning (ICML), 2018.</w:t>
      </w:r>
    </w:p>
    <w:p>
      <w:pPr>
        <w:spacing w:after="0" w:before="0"/>
      </w:pPr>
      <w:r>
        <w:t xml:space="preserve"/>
      </w:r>
    </w:p>
    <w:p>
      <w:pPr>
        <w:spacing w:after="100" w:before="60"/>
      </w:pPr>
      <w:r>
        <w:rPr>
          <w:rFonts w:ascii="Calibri" w:cs="Calibri" w:eastAsia="Calibri" w:hAnsi="Calibri"/>
          <w:sz w:val="22"/>
          <w:szCs w:val="22"/>
        </w:rPr>
        <w:t xml:space="preserve">[4] Y. Koren, R. Bell, and C. Volinsky, "Matrix Factorization Techniques for Recommender Systems," IEEE Computer, vol. 42, no. 8, pp. 30–37, 2009.</w:t>
      </w:r>
    </w:p>
    <w:p>
      <w:pPr>
        <w:spacing w:after="0" w:before="0"/>
      </w:pPr>
      <w:r>
        <w:t xml:space="preserve"/>
      </w:r>
    </w:p>
    <w:p>
      <w:pPr>
        <w:spacing w:after="100" w:before="60"/>
      </w:pPr>
      <w:r>
        <w:rPr>
          <w:rFonts w:ascii="Calibri" w:cs="Calibri" w:eastAsia="Calibri" w:hAnsi="Calibri"/>
          <w:sz w:val="22"/>
          <w:szCs w:val="22"/>
        </w:rPr>
        <w:t xml:space="preserve">[5] E. Cho, S. A. Myers, and J. Leskovec, "Friendship and Mobility: User Movement in Location-Based Social Networks," in Proceedings of ACM KDD, 2011. (Gowalla dataset)</w:t>
      </w:r>
    </w:p>
    <w:p>
      <w:pPr>
        <w:spacing w:after="0" w:before="0"/>
      </w:pPr>
      <w:r>
        <w:t xml:space="preserve"/>
      </w:r>
    </w:p>
    <w:p>
      <w:pPr>
        <w:spacing w:after="100" w:before="60"/>
      </w:pPr>
      <w:r>
        <w:rPr>
          <w:rFonts w:ascii="Calibri" w:cs="Calibri" w:eastAsia="Calibri" w:hAnsi="Calibri"/>
          <w:sz w:val="22"/>
          <w:szCs w:val="22"/>
        </w:rPr>
        <w:t xml:space="preserve">[6] J. McAuley, C. Targett, Q. Shi, and A. van den Hengel, "Image-based Recommendations on Styles and Substitutes," in Proceedings of ACM SIGIR, 2015. (Amazon Beauty dataset)</w:t>
      </w:r>
    </w:p>
    <w:p>
      <w:pPr>
        <w:spacing w:after="0" w:before="0"/>
      </w:pPr>
      <w:r>
        <w:t xml:space="preserve"/>
      </w:r>
    </w:p>
    <w:p>
      <w:pPr>
        <w:spacing w:after="100" w:before="60"/>
      </w:pPr>
      <w:r>
        <w:rPr>
          <w:rFonts w:ascii="Calibri" w:cs="Calibri" w:eastAsia="Calibri" w:hAnsi="Calibri"/>
          <w:sz w:val="22"/>
          <w:szCs w:val="22"/>
        </w:rPr>
        <w:t xml:space="preserve">[7] J. Wu, X. Wang, F. Feng, X. He, L. Chen, J. Lian, and X. Xie, "Self-Supervised Graph Learning for Recommendation," in Proceedings of ACM SIGIR, 2021.</w:t>
      </w:r>
    </w:p>
    <w:p>
      <w:pPr>
        <w:spacing w:after="0" w:before="0"/>
      </w:pPr>
      <w:r>
        <w:t xml:space="preserve"/>
      </w:r>
    </w:p>
    <w:p>
      <w:pPr>
        <w:spacing w:after="100" w:before="60"/>
      </w:pPr>
      <w:r>
        <w:rPr>
          <w:rFonts w:ascii="Calibri" w:cs="Calibri" w:eastAsia="Calibri" w:hAnsi="Calibri"/>
          <w:sz w:val="22"/>
          <w:szCs w:val="22"/>
        </w:rPr>
        <w:t xml:space="preserve">[8] J. Yu, H. Yin, X. Xia, T. Chen, L. Cui, and Q. V. H. Nguyen, "Are Graph Augmentations Necessary? Simple Graph Contrastive Learning for Recommendation," in Proceedings of ACM SIGIR, 2022.</w:t>
      </w:r>
    </w:p>
    <w:p>
      <w:pPr>
        <w:spacing w:after="0" w:before="0"/>
      </w:pPr>
      <w:r>
        <w:t xml:space="preserve"/>
      </w:r>
    </w:p>
    <w:p>
      <w:pPr>
        <w:spacing w:after="100" w:before="60"/>
      </w:pPr>
      <w:r>
        <w:rPr>
          <w:rFonts w:ascii="Calibri" w:cs="Calibri" w:eastAsia="Calibri" w:hAnsi="Calibri"/>
          <w:sz w:val="22"/>
          <w:szCs w:val="22"/>
        </w:rPr>
        <w:t xml:space="preserve">[9] S. Rendle, W. Krichene, L. Zhang, and S. Kang, "Revisiting the Performance of iALS on Item Recommendation Benchmarks," in Proceedings of ACM RecSys, 2022.</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Calibri" w:cs="Calibri" w:eastAsia="Calibri" w:hAnsi="Calibri"/>
        <w:color w:val="999999"/>
        <w:sz w:val="17"/>
        <w:szCs w:val="17"/>
      </w:rPr>
      <w:t xml:space="preserve">Yahya Abdul Hakeem · Mustafa Kashif · Ishmal Faheem</w:t>
    </w:r>
    <w:r>
      <w:rPr>
        <w:rFonts w:ascii="Calibri" w:cs="Calibri" w:eastAsia="Calibri" w:hAnsi="Calibri"/>
        <w:color w:val="999999"/>
        <w:sz w:val="17"/>
        <w:szCs w:val="17"/>
      </w:rPr>
      <w:t xml:space="preserve">	Page </w:t>
    </w:r>
    <w:r>
      <w:rPr>
        <w:rFonts w:ascii="Calibri" w:cs="Calibri" w:eastAsia="Calibri" w:hAnsi="Calibri"/>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Calibri" w:cs="Calibri" w:eastAsia="Calibri" w:hAnsi="Calibri"/>
        <w:color w:val="777777"/>
        <w:sz w:val="18"/>
        <w:szCs w:val="18"/>
      </w:rPr>
      <w:t xml:space="preserve">Assignment 3: AdaptRecDCL</w:t>
    </w:r>
    <w:r>
      <w:rPr>
        <w:rFonts w:ascii="Calibri" w:cs="Calibri" w:eastAsia="Calibri" w:hAnsi="Calibri"/>
        <w:color w:val="777777"/>
        <w:sz w:val="18"/>
        <w:szCs w:val="18"/>
      </w:rPr>
      <w:t xml:space="preserve">	FAST-NUCES | Deep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cuixva9rapw3rahnprvo" Type="http://schemas.openxmlformats.org/officeDocument/2006/relationships/hyperlink" Target="https://github.com/YAYAKHAN10/recDCL-reimagined" TargetMode="External"/><Relationship Id="rId7l_qf6qwx8qvzdnhmtadr" Type="http://schemas.openxmlformats.org/officeDocument/2006/relationships/hyperlink" Target="https://github.com/YAYAKHAN10/recDCL-reimagined" TargetMode="External"/><Relationship Id="rIdbxoszk01filg21h9hft62" Type="http://schemas.openxmlformats.org/officeDocument/2006/relationships/hyperlink" Target="https://github.com/YAYAKHAN10/recDCL-reimagined" TargetMode="External"/><Relationship Id="rId9" Type="http://schemas.openxmlformats.org/officeDocument/2006/relationships/image" Target="media/2ec9fb330bba00a977928f0bf954dacab98220b4.png"/><Relationship Id="rId10" Type="http://schemas.openxmlformats.org/officeDocument/2006/relationships/image" Target="media/e748191b5199c68c033093868ca38ba1aa9c2a62.png"/><Relationship Id="rId11" Type="http://schemas.openxmlformats.org/officeDocument/2006/relationships/image" Target="media/95f11673df4dfe912a20295426e4b159691e3350.png"/><Relationship Id="rId12" Type="http://schemas.openxmlformats.org/officeDocument/2006/relationships/image" Target="media/41e5416354ede05cd83e4b9985b6474c0c181a73.png"/><Relationship Id="rId13" Type="http://schemas.openxmlformats.org/officeDocument/2006/relationships/image" Target="media/42554b3e9de8f7f464d0fafb1e8e4eb929c5476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2026-04-26T18:33:37.258Z</dcterms:created>
  <dcterms:modified xsi:type="dcterms:W3CDTF">2026-04-26T18:33:37.258Z</dcterms:modified>
</cp:coreProperties>
</file>

<file path=docProps/custom.xml><?xml version="1.0" encoding="utf-8"?>
<Properties xmlns="http://schemas.openxmlformats.org/officeDocument/2006/custom-properties" xmlns:vt="http://schemas.openxmlformats.org/officeDocument/2006/docPropsVTypes"/>
</file>