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0F3D57"/>
          <w:sz w:val="28"/>
          <w:szCs w:val="28"/>
        </w:rPr>
        <w:t xml:space="preserve">OXFORDSHIRE COUNTY COUNCIL</w:t>
      </w:r>
    </w:p>
    <w:p>
      <w:pPr>
        <w:spacing w:after="260"/>
        <w:jc w:val="center"/>
      </w:pPr>
      <w:r>
        <w:rPr>
          <w:color w:val="475569"/>
          <w:sz w:val="22"/>
          <w:szCs w:val="22"/>
        </w:rPr>
        <w:t xml:space="preserve">Information Governance Unit</w:t>
      </w:r>
    </w:p>
    <w:p>
      <w:pPr>
        <w:spacing w:after="120"/>
        <w:jc w:val="center"/>
      </w:pPr>
      <w:r>
        <w:rPr>
          <w:b/>
          <w:bCs/>
          <w:sz w:val="42"/>
          <w:szCs w:val="42"/>
        </w:rPr>
        <w:t xml:space="preserve">FOI Response Template &amp; House-Style Guide</w:t>
      </w:r>
    </w:p>
    <w:p>
      <w:pPr>
        <w:spacing w:after="500"/>
        <w:jc w:val="center"/>
      </w:pPr>
      <w:r>
        <w:rPr>
          <w:i/>
          <w:iCs/>
          <w:color w:val="1D6FB8"/>
          <w:sz w:val="24"/>
          <w:szCs w:val="24"/>
        </w:rPr>
        <w:t xml:space="preserve">The format the AI drafting model must follow</w:t>
      </w:r>
    </w:p>
    <w:p>
      <w:pPr>
        <w:spacing w:after="120"/>
        <w:jc w:val="center"/>
      </w:pPr>
      <w:r>
        <w:rPr>
          <w:i/>
          <w:iCs/>
          <w:color w:val="475569"/>
          <w:sz w:val="20"/>
          <w:szCs w:val="20"/>
        </w:rPr>
        <w:t xml:space="preserve">Derived from the council’s published FOI guidance and disclosure-log responses</w:t>
      </w:r>
    </w:p>
    <w:p>
      <w:pPr>
        <w:jc w:val="center"/>
      </w:pPr>
      <w:r>
        <w:rPr>
          <w:color w:val="475569"/>
          <w:sz w:val="20"/>
          <w:szCs w:val="20"/>
        </w:rPr>
        <w:t xml:space="preserve">Version 1.0  ·  June 2026  ·  Companion to the FOI System Architecture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pPr>
      <w:r>
        <w:t xml:space="preserve">This guide defines the standard format and house style for Oxfordshire County Council FOI responses. It is the template the AI drafting model follows and the checklist reviewers use before approval. It was built from the council’s own published FOI guidance and the structure of responses in the public disclosure log, so that automated drafts read like the council’s existing correspondence.</w:t>
      </w:r>
    </w:p>
    <w:p>
      <w:pPr>
        <w:spacing w:after="120" w:line="276"/>
      </w:pPr>
      <w:r>
        <w:rPr>
          <w:b/>
          <w:bCs/>
        </w:rPr>
        <w:t xml:space="preserve">Important: </w:t>
      </w:r>
      <w:r>
        <w:t xml:space="preserve">the house style is learned from public material as the initial training data. During Phase 0 the system ingests the council website and the published disclosure-log responses; this template is refreshed from real samples before go-live and whenever the council updates its standard wording.</w:t>
      </w:r>
    </w:p>
    <w:p>
      <w:pPr>
        <w:pStyle w:val="Heading1"/>
      </w:pPr>
      <w:r>
        <w:t xml:space="preserve">2. Council-specific facts the template encodes</w:t>
      </w:r>
    </w:p>
    <w:p>
      <w:pPr>
        <w:spacing w:after="120" w:line="276"/>
      </w:pPr>
      <w:r>
        <w:t xml:space="preserve">These details are taken from the council’s public FOI pages and must appear consistently in every response.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rPr>
          <w:tblHeader/>
        </w:trPr>
        <w:tc>
          <w:tcPr>
            <w:tcW w:type="dxa" w:w="3200"/>
            <w:shd w:fill="0F3D57" w:val="clear"/>
            <w:tcMar>
              <w:top w:type="dxa" w:w="70"/>
              <w:left w:type="dxa" w:w="120"/>
              <w:bottom w:type="dxa" w:w="70"/>
              <w:right w:type="dxa" w:w="120"/>
            </w:tcMar>
            <w:vAlign w:val="center"/>
          </w:tcPr>
          <w:p>
            <w:pPr>
              <w:jc w:val="left"/>
            </w:pPr>
            <w:r>
              <w:rPr>
                <w:b/>
                <w:bCs/>
                <w:color w:val="FFFFFF"/>
              </w:rPr>
              <w:t xml:space="preserve">Element</w:t>
            </w:r>
          </w:p>
        </w:tc>
        <w:tc>
          <w:tcPr>
            <w:tcW w:type="dxa" w:w="6160"/>
            <w:shd w:fill="0F3D57" w:val="clear"/>
            <w:tcMar>
              <w:top w:type="dxa" w:w="70"/>
              <w:left w:type="dxa" w:w="120"/>
              <w:bottom w:type="dxa" w:w="70"/>
              <w:right w:type="dxa" w:w="120"/>
            </w:tcMar>
            <w:vAlign w:val="center"/>
          </w:tcPr>
          <w:p>
            <w:pPr>
              <w:jc w:val="left"/>
            </w:pPr>
            <w:r>
              <w:rPr>
                <w:b/>
                <w:bCs/>
                <w:color w:val="FFFFFF"/>
              </w:rPr>
              <w:t xml:space="preserve">Standard value</w:t>
            </w:r>
          </w:p>
        </w:tc>
      </w:tr>
      <w:tr>
        <w:tc>
          <w:tcPr>
            <w:tcW w:type="dxa" w:w="3200"/>
            <w:shd w:fill="FFFFFF" w:val="clear"/>
            <w:tcMar>
              <w:top w:type="dxa" w:w="70"/>
              <w:left w:type="dxa" w:w="120"/>
              <w:bottom w:type="dxa" w:w="70"/>
              <w:right w:type="dxa" w:w="120"/>
            </w:tcMar>
            <w:vAlign w:val="center"/>
          </w:tcPr>
          <w:p>
            <w:pPr>
              <w:jc w:val="left"/>
            </w:pPr>
            <w:r>
              <w:rPr>
                <w:b w:val="false"/>
                <w:bCs w:val="false"/>
                <w:color w:val="0F172A"/>
              </w:rPr>
              <w:t xml:space="preserve">Responding team</w:t>
            </w:r>
          </w:p>
        </w:tc>
        <w:tc>
          <w:tcPr>
            <w:tcW w:type="dxa" w:w="6160"/>
            <w:shd w:fill="FFFFFF" w:val="clear"/>
            <w:tcMar>
              <w:top w:type="dxa" w:w="70"/>
              <w:left w:type="dxa" w:w="120"/>
              <w:bottom w:type="dxa" w:w="70"/>
              <w:right w:type="dxa" w:w="120"/>
            </w:tcMar>
            <w:vAlign w:val="center"/>
          </w:tcPr>
          <w:p>
            <w:pPr>
              <w:jc w:val="left"/>
            </w:pPr>
            <w:r>
              <w:rPr>
                <w:b w:val="false"/>
                <w:bCs w:val="false"/>
                <w:color w:val="0F172A"/>
              </w:rPr>
              <w:t xml:space="preserve">Information Governance Unit / Information Access Team</w:t>
            </w:r>
          </w:p>
        </w:tc>
      </w:tr>
      <w:tr>
        <w:tc>
          <w:tcPr>
            <w:tcW w:type="dxa" w:w="3200"/>
            <w:shd w:fill="F4F8FB" w:val="clear"/>
            <w:tcMar>
              <w:top w:type="dxa" w:w="70"/>
              <w:left w:type="dxa" w:w="120"/>
              <w:bottom w:type="dxa" w:w="70"/>
              <w:right w:type="dxa" w:w="120"/>
            </w:tcMar>
            <w:vAlign w:val="center"/>
          </w:tcPr>
          <w:p>
            <w:pPr>
              <w:jc w:val="left"/>
            </w:pPr>
            <w:r>
              <w:rPr>
                <w:b w:val="false"/>
                <w:bCs w:val="false"/>
                <w:color w:val="0F172A"/>
              </w:rPr>
              <w:t xml:space="preserve">Postal address</w:t>
            </w:r>
          </w:p>
        </w:tc>
        <w:tc>
          <w:tcPr>
            <w:tcW w:type="dxa" w:w="6160"/>
            <w:shd w:fill="F4F8FB" w:val="clear"/>
            <w:tcMar>
              <w:top w:type="dxa" w:w="70"/>
              <w:left w:type="dxa" w:w="120"/>
              <w:bottom w:type="dxa" w:w="70"/>
              <w:right w:type="dxa" w:w="120"/>
            </w:tcMar>
            <w:vAlign w:val="center"/>
          </w:tcPr>
          <w:p>
            <w:pPr>
              <w:jc w:val="left"/>
            </w:pPr>
            <w:r>
              <w:rPr>
                <w:b w:val="false"/>
                <w:bCs w:val="false"/>
                <w:color w:val="0F172A"/>
              </w:rPr>
              <w:t xml:space="preserve">Information Governance Unit, Oxfordshire County Council, County Hall, New Road, Oxford, OX1 1ND</w:t>
            </w:r>
          </w:p>
        </w:tc>
      </w:tr>
      <w:tr>
        <w:tc>
          <w:tcPr>
            <w:tcW w:type="dxa" w:w="3200"/>
            <w:shd w:fill="FFFFFF" w:val="clear"/>
            <w:tcMar>
              <w:top w:type="dxa" w:w="70"/>
              <w:left w:type="dxa" w:w="120"/>
              <w:bottom w:type="dxa" w:w="70"/>
              <w:right w:type="dxa" w:w="120"/>
            </w:tcMar>
            <w:vAlign w:val="center"/>
          </w:tcPr>
          <w:p>
            <w:pPr>
              <w:jc w:val="left"/>
            </w:pPr>
            <w:r>
              <w:rPr>
                <w:b w:val="false"/>
                <w:bCs w:val="false"/>
                <w:color w:val="0F172A"/>
              </w:rPr>
              <w:t xml:space="preserve">Statutory deadline wording</w:t>
            </w:r>
          </w:p>
        </w:tc>
        <w:tc>
          <w:tcPr>
            <w:tcW w:type="dxa" w:w="6160"/>
            <w:shd w:fill="FFFFFF" w:val="clear"/>
            <w:tcMar>
              <w:top w:type="dxa" w:w="70"/>
              <w:left w:type="dxa" w:w="120"/>
              <w:bottom w:type="dxa" w:w="70"/>
              <w:right w:type="dxa" w:w="120"/>
            </w:tcMar>
            <w:vAlign w:val="center"/>
          </w:tcPr>
          <w:p>
            <w:pPr>
              <w:jc w:val="left"/>
            </w:pPr>
            <w:r>
              <w:rPr>
                <w:b w:val="false"/>
                <w:bCs w:val="false"/>
                <w:color w:val="0F172A"/>
              </w:rPr>
              <w:t xml:space="preserve">“within 4 weeks” (i.e. 20 working days)</w:t>
            </w:r>
          </w:p>
        </w:tc>
      </w:tr>
      <w:tr>
        <w:tc>
          <w:tcPr>
            <w:tcW w:type="dxa" w:w="3200"/>
            <w:shd w:fill="F4F8FB" w:val="clear"/>
            <w:tcMar>
              <w:top w:type="dxa" w:w="70"/>
              <w:left w:type="dxa" w:w="120"/>
              <w:bottom w:type="dxa" w:w="70"/>
              <w:right w:type="dxa" w:w="120"/>
            </w:tcMar>
            <w:vAlign w:val="center"/>
          </w:tcPr>
          <w:p>
            <w:pPr>
              <w:jc w:val="left"/>
            </w:pPr>
            <w:r>
              <w:rPr>
                <w:b w:val="false"/>
                <w:bCs w:val="false"/>
                <w:color w:val="0F172A"/>
              </w:rPr>
              <w:t xml:space="preserve">Legislation cited</w:t>
            </w:r>
          </w:p>
        </w:tc>
        <w:tc>
          <w:tcPr>
            <w:tcW w:type="dxa" w:w="6160"/>
            <w:shd w:fill="F4F8FB" w:val="clear"/>
            <w:tcMar>
              <w:top w:type="dxa" w:w="70"/>
              <w:left w:type="dxa" w:w="120"/>
              <w:bottom w:type="dxa" w:w="70"/>
              <w:right w:type="dxa" w:w="120"/>
            </w:tcMar>
            <w:vAlign w:val="center"/>
          </w:tcPr>
          <w:p>
            <w:pPr>
              <w:jc w:val="left"/>
            </w:pPr>
            <w:r>
              <w:rPr>
                <w:b w:val="false"/>
                <w:bCs w:val="false"/>
                <w:color w:val="0F172A"/>
              </w:rPr>
              <w:t xml:space="preserve">Freedom of Information Act 2000 (FOIA) or Environmental Information Regulations 2004 (EIR)</w:t>
            </w:r>
          </w:p>
        </w:tc>
      </w:tr>
      <w:tr>
        <w:tc>
          <w:tcPr>
            <w:tcW w:type="dxa" w:w="3200"/>
            <w:shd w:fill="FFFFFF" w:val="clear"/>
            <w:tcMar>
              <w:top w:type="dxa" w:w="70"/>
              <w:left w:type="dxa" w:w="120"/>
              <w:bottom w:type="dxa" w:w="70"/>
              <w:right w:type="dxa" w:w="120"/>
            </w:tcMar>
            <w:vAlign w:val="center"/>
          </w:tcPr>
          <w:p>
            <w:pPr>
              <w:jc w:val="left"/>
            </w:pPr>
            <w:r>
              <w:rPr>
                <w:b w:val="false"/>
                <w:bCs w:val="false"/>
                <w:color w:val="0F172A"/>
              </w:rPr>
              <w:t xml:space="preserve">Disbursement charge</w:t>
            </w:r>
          </w:p>
        </w:tc>
        <w:tc>
          <w:tcPr>
            <w:tcW w:type="dxa" w:w="6160"/>
            <w:shd w:fill="FFFFFF" w:val="clear"/>
            <w:tcMar>
              <w:top w:type="dxa" w:w="70"/>
              <w:left w:type="dxa" w:w="120"/>
              <w:bottom w:type="dxa" w:w="70"/>
              <w:right w:type="dxa" w:w="120"/>
            </w:tcMar>
            <w:vAlign w:val="center"/>
          </w:tcPr>
          <w:p>
            <w:pPr>
              <w:jc w:val="left"/>
            </w:pPr>
            <w:r>
              <w:rPr>
                <w:b w:val="false"/>
                <w:bCs w:val="false"/>
                <w:color w:val="0F172A"/>
              </w:rPr>
              <w:t xml:space="preserve">10p per A4 sheet for printing/photocopying; fees notice issued for documents over 100 pages; 60 working days to pay</w:t>
            </w:r>
          </w:p>
        </w:tc>
      </w:tr>
      <w:tr>
        <w:tc>
          <w:tcPr>
            <w:tcW w:type="dxa" w:w="3200"/>
            <w:shd w:fill="F4F8FB" w:val="clear"/>
            <w:tcMar>
              <w:top w:type="dxa" w:w="70"/>
              <w:left w:type="dxa" w:w="120"/>
              <w:bottom w:type="dxa" w:w="70"/>
              <w:right w:type="dxa" w:w="120"/>
            </w:tcMar>
            <w:vAlign w:val="center"/>
          </w:tcPr>
          <w:p>
            <w:pPr>
              <w:jc w:val="left"/>
            </w:pPr>
            <w:r>
              <w:rPr>
                <w:b w:val="false"/>
                <w:bCs w:val="false"/>
                <w:color w:val="0F172A"/>
              </w:rPr>
              <w:t xml:space="preserve">Internal review route</w:t>
            </w:r>
          </w:p>
        </w:tc>
        <w:tc>
          <w:tcPr>
            <w:tcW w:type="dxa" w:w="6160"/>
            <w:shd w:fill="F4F8FB" w:val="clear"/>
            <w:tcMar>
              <w:top w:type="dxa" w:w="70"/>
              <w:left w:type="dxa" w:w="120"/>
              <w:bottom w:type="dxa" w:w="70"/>
              <w:right w:type="dxa" w:w="120"/>
            </w:tcMar>
            <w:vAlign w:val="center"/>
          </w:tcPr>
          <w:p>
            <w:pPr>
              <w:jc w:val="left"/>
            </w:pPr>
            <w:r>
              <w:rPr>
                <w:b w:val="false"/>
                <w:bCs w:val="false"/>
                <w:color w:val="0F172A"/>
              </w:rPr>
              <w:t xml:space="preserve">Request an internal review via the Information Governance Unit (reviewer has no prior involvement)</w:t>
            </w:r>
          </w:p>
        </w:tc>
      </w:tr>
      <w:tr>
        <w:tc>
          <w:tcPr>
            <w:tcW w:type="dxa" w:w="3200"/>
            <w:shd w:fill="FFFFFF" w:val="clear"/>
            <w:tcMar>
              <w:top w:type="dxa" w:w="70"/>
              <w:left w:type="dxa" w:w="120"/>
              <w:bottom w:type="dxa" w:w="70"/>
              <w:right w:type="dxa" w:w="120"/>
            </w:tcMar>
            <w:vAlign w:val="center"/>
          </w:tcPr>
          <w:p>
            <w:pPr>
              <w:jc w:val="left"/>
            </w:pPr>
            <w:r>
              <w:rPr>
                <w:b w:val="false"/>
                <w:bCs w:val="false"/>
                <w:color w:val="0F172A"/>
              </w:rPr>
              <w:t xml:space="preserve">Regulator</w:t>
            </w:r>
          </w:p>
        </w:tc>
        <w:tc>
          <w:tcPr>
            <w:tcW w:type="dxa" w:w="6160"/>
            <w:shd w:fill="FFFFFF" w:val="clear"/>
            <w:tcMar>
              <w:top w:type="dxa" w:w="70"/>
              <w:left w:type="dxa" w:w="120"/>
              <w:bottom w:type="dxa" w:w="70"/>
              <w:right w:type="dxa" w:w="120"/>
            </w:tcMar>
            <w:vAlign w:val="center"/>
          </w:tcPr>
          <w:p>
            <w:pPr>
              <w:jc w:val="left"/>
            </w:pPr>
            <w:r>
              <w:rPr>
                <w:b w:val="false"/>
                <w:bCs w:val="false"/>
                <w:color w:val="0F172A"/>
              </w:rPr>
              <w:t xml:space="preserve">Information Commissioner’s Office (ICO), Wycliffe House, Water Lane, Wilmslow, Cheshire, SK9 5AF</w:t>
            </w:r>
          </w:p>
        </w:tc>
      </w:tr>
      <w:tr>
        <w:tc>
          <w:tcPr>
            <w:tcW w:type="dxa" w:w="3200"/>
            <w:shd w:fill="F4F8FB" w:val="clear"/>
            <w:tcMar>
              <w:top w:type="dxa" w:w="70"/>
              <w:left w:type="dxa" w:w="120"/>
              <w:bottom w:type="dxa" w:w="70"/>
              <w:right w:type="dxa" w:w="120"/>
            </w:tcMar>
            <w:vAlign w:val="center"/>
          </w:tcPr>
          <w:p>
            <w:pPr>
              <w:jc w:val="left"/>
            </w:pPr>
            <w:r>
              <w:rPr>
                <w:b w:val="false"/>
                <w:bCs w:val="false"/>
                <w:color w:val="0F172A"/>
              </w:rPr>
              <w:t xml:space="preserve">Re-use clause</w:t>
            </w:r>
          </w:p>
        </w:tc>
        <w:tc>
          <w:tcPr>
            <w:tcW w:type="dxa" w:w="6160"/>
            <w:shd w:fill="F4F8FB" w:val="clear"/>
            <w:tcMar>
              <w:top w:type="dxa" w:w="70"/>
              <w:left w:type="dxa" w:w="120"/>
              <w:bottom w:type="dxa" w:w="70"/>
              <w:right w:type="dxa" w:w="120"/>
            </w:tcMar>
            <w:vAlign w:val="center"/>
          </w:tcPr>
          <w:p>
            <w:pPr>
              <w:jc w:val="left"/>
            </w:pPr>
            <w:r>
              <w:rPr>
                <w:b w:val="false"/>
                <w:bCs w:val="false"/>
                <w:color w:val="0F172A"/>
              </w:rPr>
              <w:t xml:space="preserve">Information released under FOIA/EIR may only be re-used with the council’s permission (copyright)</w:t>
            </w:r>
          </w:p>
        </w:tc>
      </w:tr>
    </w:tbl>
    <w:p>
      <w:r>
        <w:br w:type="page"/>
      </w:r>
    </w:p>
    <w:p>
      <w:pPr>
        <w:pStyle w:val="Heading1"/>
      </w:pPr>
      <w:r>
        <w:t xml:space="preserve">3. Anatomy of a standard response</w:t>
      </w:r>
    </w:p>
    <w:p>
      <w:pPr>
        <w:spacing w:after="120" w:line="276"/>
      </w:pPr>
      <w:r>
        <w:t xml:space="preserve">Every response is built from the same ordered blocks. The drafting model assembles these blocks; blocks that do not apply (for example exemptions) are omitted rather than left empty.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2900"/>
        <w:gridCol w:w="5560"/>
      </w:tblGrid>
      <w:tr>
        <w:trPr>
          <w:tblHeader/>
        </w:trPr>
        <w:tc>
          <w:tcPr>
            <w:tcW w:type="dxa" w:w="900"/>
            <w:shd w:fill="1D6FB8" w:val="clear"/>
            <w:tcMar>
              <w:top w:type="dxa" w:w="70"/>
              <w:left w:type="dxa" w:w="120"/>
              <w:bottom w:type="dxa" w:w="70"/>
              <w:right w:type="dxa" w:w="120"/>
            </w:tcMar>
            <w:vAlign w:val="center"/>
          </w:tcPr>
          <w:p>
            <w:pPr>
              <w:jc w:val="left"/>
            </w:pPr>
            <w:r>
              <w:rPr>
                <w:b/>
                <w:bCs/>
                <w:color w:val="FFFFFF"/>
              </w:rPr>
              <w:t xml:space="preserve">#</w:t>
            </w:r>
          </w:p>
        </w:tc>
        <w:tc>
          <w:tcPr>
            <w:tcW w:type="dxa" w:w="2900"/>
            <w:shd w:fill="1D6FB8" w:val="clear"/>
            <w:tcMar>
              <w:top w:type="dxa" w:w="70"/>
              <w:left w:type="dxa" w:w="120"/>
              <w:bottom w:type="dxa" w:w="70"/>
              <w:right w:type="dxa" w:w="120"/>
            </w:tcMar>
            <w:vAlign w:val="center"/>
          </w:tcPr>
          <w:p>
            <w:pPr>
              <w:jc w:val="left"/>
            </w:pPr>
            <w:r>
              <w:rPr>
                <w:b/>
                <w:bCs/>
                <w:color w:val="FFFFFF"/>
              </w:rPr>
              <w:t xml:space="preserve">Block</w:t>
            </w:r>
          </w:p>
        </w:tc>
        <w:tc>
          <w:tcPr>
            <w:tcW w:type="dxa" w:w="5560"/>
            <w:shd w:fill="1D6FB8" w:val="clear"/>
            <w:tcMar>
              <w:top w:type="dxa" w:w="70"/>
              <w:left w:type="dxa" w:w="120"/>
              <w:bottom w:type="dxa" w:w="70"/>
              <w:right w:type="dxa" w:w="120"/>
            </w:tcMar>
            <w:vAlign w:val="center"/>
          </w:tcPr>
          <w:p>
            <w:pPr>
              <w:jc w:val="left"/>
            </w:pPr>
            <w:r>
              <w:rPr>
                <w:b/>
                <w:bCs/>
                <w:color w:val="FFFFFF"/>
              </w:rPr>
              <w:t xml:space="preserve">Purpose / standard wording</w:t>
            </w:r>
          </w:p>
        </w:tc>
      </w:tr>
      <w:tr>
        <w:tc>
          <w:tcPr>
            <w:tcW w:type="dxa" w:w="900"/>
            <w:shd w:fill="FFFFFF" w:val="clear"/>
            <w:tcMar>
              <w:top w:type="dxa" w:w="70"/>
              <w:left w:type="dxa" w:w="120"/>
              <w:bottom w:type="dxa" w:w="70"/>
              <w:right w:type="dxa" w:w="120"/>
            </w:tcMar>
            <w:vAlign w:val="center"/>
          </w:tcPr>
          <w:p>
            <w:pPr>
              <w:jc w:val="left"/>
            </w:pPr>
            <w:r>
              <w:rPr>
                <w:b w:val="false"/>
                <w:bCs w:val="false"/>
                <w:color w:val="0F172A"/>
              </w:rPr>
              <w:t xml:space="preserve">1</w:t>
            </w:r>
          </w:p>
        </w:tc>
        <w:tc>
          <w:tcPr>
            <w:tcW w:type="dxa" w:w="2900"/>
            <w:shd w:fill="FFFFFF" w:val="clear"/>
            <w:tcMar>
              <w:top w:type="dxa" w:w="70"/>
              <w:left w:type="dxa" w:w="120"/>
              <w:bottom w:type="dxa" w:w="70"/>
              <w:right w:type="dxa" w:w="120"/>
            </w:tcMar>
            <w:vAlign w:val="center"/>
          </w:tcPr>
          <w:p>
            <w:pPr>
              <w:jc w:val="left"/>
            </w:pPr>
            <w:r>
              <w:rPr>
                <w:b w:val="false"/>
                <w:bCs w:val="false"/>
                <w:color w:val="0F172A"/>
              </w:rPr>
              <w:t xml:space="preserve">Header &amp; reference</w:t>
            </w:r>
          </w:p>
        </w:tc>
        <w:tc>
          <w:tcPr>
            <w:tcW w:type="dxa" w:w="5560"/>
            <w:shd w:fill="FFFFFF" w:val="clear"/>
            <w:tcMar>
              <w:top w:type="dxa" w:w="70"/>
              <w:left w:type="dxa" w:w="120"/>
              <w:bottom w:type="dxa" w:w="70"/>
              <w:right w:type="dxa" w:w="120"/>
            </w:tcMar>
            <w:vAlign w:val="center"/>
          </w:tcPr>
          <w:p>
            <w:pPr>
              <w:jc w:val="left"/>
            </w:pPr>
            <w:r>
              <w:rPr>
                <w:b w:val="false"/>
                <w:bCs w:val="false"/>
                <w:color w:val="0F172A"/>
              </w:rPr>
              <w:t xml:space="preserve">Responding team, address, date, and unique reference (e.g. “Our ref: FOI/xxxxx”).</w:t>
            </w:r>
          </w:p>
        </w:tc>
      </w:tr>
      <w:tr>
        <w:tc>
          <w:tcPr>
            <w:tcW w:type="dxa" w:w="900"/>
            <w:shd w:fill="F4F8FB" w:val="clear"/>
            <w:tcMar>
              <w:top w:type="dxa" w:w="70"/>
              <w:left w:type="dxa" w:w="120"/>
              <w:bottom w:type="dxa" w:w="70"/>
              <w:right w:type="dxa" w:w="120"/>
            </w:tcMar>
            <w:vAlign w:val="center"/>
          </w:tcPr>
          <w:p>
            <w:pPr>
              <w:jc w:val="left"/>
            </w:pPr>
            <w:r>
              <w:rPr>
                <w:b w:val="false"/>
                <w:bCs w:val="false"/>
                <w:color w:val="0F172A"/>
              </w:rPr>
              <w:t xml:space="preserve">2</w:t>
            </w:r>
          </w:p>
        </w:tc>
        <w:tc>
          <w:tcPr>
            <w:tcW w:type="dxa" w:w="2900"/>
            <w:shd w:fill="F4F8FB" w:val="clear"/>
            <w:tcMar>
              <w:top w:type="dxa" w:w="70"/>
              <w:left w:type="dxa" w:w="120"/>
              <w:bottom w:type="dxa" w:w="70"/>
              <w:right w:type="dxa" w:w="120"/>
            </w:tcMar>
            <w:vAlign w:val="center"/>
          </w:tcPr>
          <w:p>
            <w:pPr>
              <w:jc w:val="left"/>
            </w:pPr>
            <w:r>
              <w:rPr>
                <w:b w:val="false"/>
                <w:bCs w:val="false"/>
                <w:color w:val="0F172A"/>
              </w:rPr>
              <w:t xml:space="preserve">Salutation</w:t>
            </w:r>
          </w:p>
        </w:tc>
        <w:tc>
          <w:tcPr>
            <w:tcW w:type="dxa" w:w="5560"/>
            <w:shd w:fill="F4F8FB" w:val="clear"/>
            <w:tcMar>
              <w:top w:type="dxa" w:w="70"/>
              <w:left w:type="dxa" w:w="120"/>
              <w:bottom w:type="dxa" w:w="70"/>
              <w:right w:type="dxa" w:w="120"/>
            </w:tcMar>
            <w:vAlign w:val="center"/>
          </w:tcPr>
          <w:p>
            <w:pPr>
              <w:jc w:val="left"/>
            </w:pPr>
            <w:r>
              <w:rPr>
                <w:b w:val="false"/>
                <w:bCs w:val="false"/>
                <w:color w:val="0F172A"/>
              </w:rPr>
              <w:t xml:space="preserve">“Dear [name]”, or “Dear Sir/Madam” where no name is given.</w:t>
            </w:r>
          </w:p>
        </w:tc>
      </w:tr>
      <w:tr>
        <w:tc>
          <w:tcPr>
            <w:tcW w:type="dxa" w:w="900"/>
            <w:shd w:fill="FFFFFF" w:val="clear"/>
            <w:tcMar>
              <w:top w:type="dxa" w:w="70"/>
              <w:left w:type="dxa" w:w="120"/>
              <w:bottom w:type="dxa" w:w="70"/>
              <w:right w:type="dxa" w:w="120"/>
            </w:tcMar>
            <w:vAlign w:val="center"/>
          </w:tcPr>
          <w:p>
            <w:pPr>
              <w:jc w:val="left"/>
            </w:pPr>
            <w:r>
              <w:rPr>
                <w:b w:val="false"/>
                <w:bCs w:val="false"/>
                <w:color w:val="0F172A"/>
              </w:rPr>
              <w:t xml:space="preserve">3</w:t>
            </w:r>
          </w:p>
        </w:tc>
        <w:tc>
          <w:tcPr>
            <w:tcW w:type="dxa" w:w="2900"/>
            <w:shd w:fill="FFFFFF" w:val="clear"/>
            <w:tcMar>
              <w:top w:type="dxa" w:w="70"/>
              <w:left w:type="dxa" w:w="120"/>
              <w:bottom w:type="dxa" w:w="70"/>
              <w:right w:type="dxa" w:w="120"/>
            </w:tcMar>
            <w:vAlign w:val="center"/>
          </w:tcPr>
          <w:p>
            <w:pPr>
              <w:jc w:val="left"/>
            </w:pPr>
            <w:r>
              <w:rPr>
                <w:b w:val="false"/>
                <w:bCs w:val="false"/>
                <w:color w:val="0F172A"/>
              </w:rPr>
              <w:t xml:space="preserve">Acknowledgement</w:t>
            </w:r>
          </w:p>
        </w:tc>
        <w:tc>
          <w:tcPr>
            <w:tcW w:type="dxa" w:w="5560"/>
            <w:shd w:fill="FFFFFF" w:val="clear"/>
            <w:tcMar>
              <w:top w:type="dxa" w:w="70"/>
              <w:left w:type="dxa" w:w="120"/>
              <w:bottom w:type="dxa" w:w="70"/>
              <w:right w:type="dxa" w:w="120"/>
            </w:tcMar>
            <w:vAlign w:val="center"/>
          </w:tcPr>
          <w:p>
            <w:pPr>
              <w:jc w:val="left"/>
            </w:pPr>
            <w:r>
              <w:rPr>
                <w:b w:val="false"/>
                <w:bCs w:val="false"/>
                <w:color w:val="0F172A"/>
              </w:rPr>
              <w:t xml:space="preserve">“Thank you for your request for information received on [date], which has been considered under the Freedom of Information Act 2000.”</w:t>
            </w:r>
          </w:p>
        </w:tc>
      </w:tr>
      <w:tr>
        <w:tc>
          <w:tcPr>
            <w:tcW w:type="dxa" w:w="900"/>
            <w:shd w:fill="F4F8FB" w:val="clear"/>
            <w:tcMar>
              <w:top w:type="dxa" w:w="70"/>
              <w:left w:type="dxa" w:w="120"/>
              <w:bottom w:type="dxa" w:w="70"/>
              <w:right w:type="dxa" w:w="120"/>
            </w:tcMar>
            <w:vAlign w:val="center"/>
          </w:tcPr>
          <w:p>
            <w:pPr>
              <w:jc w:val="left"/>
            </w:pPr>
            <w:r>
              <w:rPr>
                <w:b w:val="false"/>
                <w:bCs w:val="false"/>
                <w:color w:val="0F172A"/>
              </w:rPr>
              <w:t xml:space="preserve">4</w:t>
            </w:r>
          </w:p>
        </w:tc>
        <w:tc>
          <w:tcPr>
            <w:tcW w:type="dxa" w:w="2900"/>
            <w:shd w:fill="F4F8FB" w:val="clear"/>
            <w:tcMar>
              <w:top w:type="dxa" w:w="70"/>
              <w:left w:type="dxa" w:w="120"/>
              <w:bottom w:type="dxa" w:w="70"/>
              <w:right w:type="dxa" w:w="120"/>
            </w:tcMar>
            <w:vAlign w:val="center"/>
          </w:tcPr>
          <w:p>
            <w:pPr>
              <w:jc w:val="left"/>
            </w:pPr>
            <w:r>
              <w:rPr>
                <w:b w:val="false"/>
                <w:bCs w:val="false"/>
                <w:color w:val="0F172A"/>
              </w:rPr>
              <w:t xml:space="preserve">Confirm or deny</w:t>
            </w:r>
          </w:p>
        </w:tc>
        <w:tc>
          <w:tcPr>
            <w:tcW w:type="dxa" w:w="5560"/>
            <w:shd w:fill="F4F8FB" w:val="clear"/>
            <w:tcMar>
              <w:top w:type="dxa" w:w="70"/>
              <w:left w:type="dxa" w:w="120"/>
              <w:bottom w:type="dxa" w:w="70"/>
              <w:right w:type="dxa" w:w="120"/>
            </w:tcMar>
            <w:vAlign w:val="center"/>
          </w:tcPr>
          <w:p>
            <w:pPr>
              <w:jc w:val="left"/>
            </w:pPr>
            <w:r>
              <w:rPr>
                <w:b w:val="false"/>
                <w:bCs w:val="false"/>
                <w:color w:val="0F172A"/>
              </w:rPr>
              <w:t xml:space="preserve">State whether the information is held: “I can confirm that Oxfordshire County Council does hold the information you have requested.” (or does not hold / partially holds).</w:t>
            </w:r>
          </w:p>
        </w:tc>
      </w:tr>
      <w:tr>
        <w:tc>
          <w:tcPr>
            <w:tcW w:type="dxa" w:w="900"/>
            <w:shd w:fill="FFFFFF" w:val="clear"/>
            <w:tcMar>
              <w:top w:type="dxa" w:w="70"/>
              <w:left w:type="dxa" w:w="120"/>
              <w:bottom w:type="dxa" w:w="70"/>
              <w:right w:type="dxa" w:w="120"/>
            </w:tcMar>
            <w:vAlign w:val="center"/>
          </w:tcPr>
          <w:p>
            <w:pPr>
              <w:jc w:val="left"/>
            </w:pPr>
            <w:r>
              <w:rPr>
                <w:b w:val="false"/>
                <w:bCs w:val="false"/>
                <w:color w:val="0F172A"/>
              </w:rPr>
              <w:t xml:space="preserve">5</w:t>
            </w:r>
          </w:p>
        </w:tc>
        <w:tc>
          <w:tcPr>
            <w:tcW w:type="dxa" w:w="2900"/>
            <w:shd w:fill="FFFFFF" w:val="clear"/>
            <w:tcMar>
              <w:top w:type="dxa" w:w="70"/>
              <w:left w:type="dxa" w:w="120"/>
              <w:bottom w:type="dxa" w:w="70"/>
              <w:right w:type="dxa" w:w="120"/>
            </w:tcMar>
            <w:vAlign w:val="center"/>
          </w:tcPr>
          <w:p>
            <w:pPr>
              <w:jc w:val="left"/>
            </w:pPr>
            <w:r>
              <w:rPr>
                <w:b w:val="false"/>
                <w:bCs w:val="false"/>
                <w:color w:val="0F172A"/>
              </w:rPr>
              <w:t xml:space="preserve">The response</w:t>
            </w:r>
          </w:p>
        </w:tc>
        <w:tc>
          <w:tcPr>
            <w:tcW w:type="dxa" w:w="5560"/>
            <w:shd w:fill="FFFFFF" w:val="clear"/>
            <w:tcMar>
              <w:top w:type="dxa" w:w="70"/>
              <w:left w:type="dxa" w:w="120"/>
              <w:bottom w:type="dxa" w:w="70"/>
              <w:right w:type="dxa" w:w="120"/>
            </w:tcMar>
            <w:vAlign w:val="center"/>
          </w:tcPr>
          <w:p>
            <w:pPr>
              <w:jc w:val="left"/>
            </w:pPr>
            <w:r>
              <w:rPr>
                <w:b w:val="false"/>
                <w:bCs w:val="false"/>
                <w:color w:val="0F172A"/>
              </w:rPr>
              <w:t xml:space="preserve">Restate each question and answer it directly, in the requester’s order. Use a numbered Q-and-A or a table. Attach data as appendices where large.</w:t>
            </w:r>
          </w:p>
        </w:tc>
      </w:tr>
      <w:tr>
        <w:tc>
          <w:tcPr>
            <w:tcW w:type="dxa" w:w="900"/>
            <w:shd w:fill="F4F8FB" w:val="clear"/>
            <w:tcMar>
              <w:top w:type="dxa" w:w="70"/>
              <w:left w:type="dxa" w:w="120"/>
              <w:bottom w:type="dxa" w:w="70"/>
              <w:right w:type="dxa" w:w="120"/>
            </w:tcMar>
            <w:vAlign w:val="center"/>
          </w:tcPr>
          <w:p>
            <w:pPr>
              <w:jc w:val="left"/>
            </w:pPr>
            <w:r>
              <w:rPr>
                <w:b w:val="false"/>
                <w:bCs w:val="false"/>
                <w:color w:val="0F172A"/>
              </w:rPr>
              <w:t xml:space="preserve">6</w:t>
            </w:r>
          </w:p>
        </w:tc>
        <w:tc>
          <w:tcPr>
            <w:tcW w:type="dxa" w:w="2900"/>
            <w:shd w:fill="F4F8FB" w:val="clear"/>
            <w:tcMar>
              <w:top w:type="dxa" w:w="70"/>
              <w:left w:type="dxa" w:w="120"/>
              <w:bottom w:type="dxa" w:w="70"/>
              <w:right w:type="dxa" w:w="120"/>
            </w:tcMar>
            <w:vAlign w:val="center"/>
          </w:tcPr>
          <w:p>
            <w:pPr>
              <w:jc w:val="left"/>
            </w:pPr>
            <w:r>
              <w:rPr>
                <w:b w:val="false"/>
                <w:bCs w:val="false"/>
                <w:color w:val="0F172A"/>
              </w:rPr>
              <w:t xml:space="preserve">Exemptions (if any)</w:t>
            </w:r>
          </w:p>
        </w:tc>
        <w:tc>
          <w:tcPr>
            <w:tcW w:type="dxa" w:w="5560"/>
            <w:shd w:fill="F4F8FB" w:val="clear"/>
            <w:tcMar>
              <w:top w:type="dxa" w:w="70"/>
              <w:left w:type="dxa" w:w="120"/>
              <w:bottom w:type="dxa" w:w="70"/>
              <w:right w:type="dxa" w:w="120"/>
            </w:tcMar>
            <w:vAlign w:val="center"/>
          </w:tcPr>
          <w:p>
            <w:pPr>
              <w:jc w:val="left"/>
            </w:pPr>
            <w:r>
              <w:rPr>
                <w:b w:val="false"/>
                <w:bCs w:val="false"/>
                <w:color w:val="0F172A"/>
              </w:rPr>
              <w:t xml:space="preserve">Cite the section, explain why it applies, and — for qualified exemptions — set out the public-interest test and conclusion.</w:t>
            </w:r>
          </w:p>
        </w:tc>
      </w:tr>
      <w:tr>
        <w:tc>
          <w:tcPr>
            <w:tcW w:type="dxa" w:w="900"/>
            <w:shd w:fill="FFFFFF" w:val="clear"/>
            <w:tcMar>
              <w:top w:type="dxa" w:w="70"/>
              <w:left w:type="dxa" w:w="120"/>
              <w:bottom w:type="dxa" w:w="70"/>
              <w:right w:type="dxa" w:w="120"/>
            </w:tcMar>
            <w:vAlign w:val="center"/>
          </w:tcPr>
          <w:p>
            <w:pPr>
              <w:jc w:val="left"/>
            </w:pPr>
            <w:r>
              <w:rPr>
                <w:b w:val="false"/>
                <w:bCs w:val="false"/>
                <w:color w:val="0F172A"/>
              </w:rPr>
              <w:t xml:space="preserve">7</w:t>
            </w:r>
          </w:p>
        </w:tc>
        <w:tc>
          <w:tcPr>
            <w:tcW w:type="dxa" w:w="2900"/>
            <w:shd w:fill="FFFFFF" w:val="clear"/>
            <w:tcMar>
              <w:top w:type="dxa" w:w="70"/>
              <w:left w:type="dxa" w:w="120"/>
              <w:bottom w:type="dxa" w:w="70"/>
              <w:right w:type="dxa" w:w="120"/>
            </w:tcMar>
            <w:vAlign w:val="center"/>
          </w:tcPr>
          <w:p>
            <w:pPr>
              <w:jc w:val="left"/>
            </w:pPr>
            <w:r>
              <w:rPr>
                <w:b w:val="false"/>
                <w:bCs w:val="false"/>
                <w:color w:val="0F172A"/>
              </w:rPr>
              <w:t xml:space="preserve">Fees notice (if any)</w:t>
            </w:r>
          </w:p>
        </w:tc>
        <w:tc>
          <w:tcPr>
            <w:tcW w:type="dxa" w:w="5560"/>
            <w:shd w:fill="FFFFFF" w:val="clear"/>
            <w:tcMar>
              <w:top w:type="dxa" w:w="70"/>
              <w:left w:type="dxa" w:w="120"/>
              <w:bottom w:type="dxa" w:w="70"/>
              <w:right w:type="dxa" w:w="120"/>
            </w:tcMar>
            <w:vAlign w:val="center"/>
          </w:tcPr>
          <w:p>
            <w:pPr>
              <w:jc w:val="left"/>
            </w:pPr>
            <w:r>
              <w:rPr>
                <w:b w:val="false"/>
                <w:bCs w:val="false"/>
                <w:color w:val="0F172A"/>
              </w:rPr>
              <w:t xml:space="preserve">Apply only where the cost limit (s.12) or disbursement charges apply; state the amount and payment terms.</w:t>
            </w:r>
          </w:p>
        </w:tc>
      </w:tr>
      <w:tr>
        <w:tc>
          <w:tcPr>
            <w:tcW w:type="dxa" w:w="900"/>
            <w:shd w:fill="F4F8FB" w:val="clear"/>
            <w:tcMar>
              <w:top w:type="dxa" w:w="70"/>
              <w:left w:type="dxa" w:w="120"/>
              <w:bottom w:type="dxa" w:w="70"/>
              <w:right w:type="dxa" w:w="120"/>
            </w:tcMar>
            <w:vAlign w:val="center"/>
          </w:tcPr>
          <w:p>
            <w:pPr>
              <w:jc w:val="left"/>
            </w:pPr>
            <w:r>
              <w:rPr>
                <w:b w:val="false"/>
                <w:bCs w:val="false"/>
                <w:color w:val="0F172A"/>
              </w:rPr>
              <w:t xml:space="preserve">8</w:t>
            </w:r>
          </w:p>
        </w:tc>
        <w:tc>
          <w:tcPr>
            <w:tcW w:type="dxa" w:w="2900"/>
            <w:shd w:fill="F4F8FB" w:val="clear"/>
            <w:tcMar>
              <w:top w:type="dxa" w:w="70"/>
              <w:left w:type="dxa" w:w="120"/>
              <w:bottom w:type="dxa" w:w="70"/>
              <w:right w:type="dxa" w:w="120"/>
            </w:tcMar>
            <w:vAlign w:val="center"/>
          </w:tcPr>
          <w:p>
            <w:pPr>
              <w:jc w:val="left"/>
            </w:pPr>
            <w:r>
              <w:rPr>
                <w:b w:val="false"/>
                <w:bCs w:val="false"/>
                <w:color w:val="0F172A"/>
              </w:rPr>
              <w:t xml:space="preserve">Re-use of information</w:t>
            </w:r>
          </w:p>
        </w:tc>
        <w:tc>
          <w:tcPr>
            <w:tcW w:type="dxa" w:w="5560"/>
            <w:shd w:fill="F4F8FB" w:val="clear"/>
            <w:tcMar>
              <w:top w:type="dxa" w:w="70"/>
              <w:left w:type="dxa" w:w="120"/>
              <w:bottom w:type="dxa" w:w="70"/>
              <w:right w:type="dxa" w:w="120"/>
            </w:tcMar>
            <w:vAlign w:val="center"/>
          </w:tcPr>
          <w:p>
            <w:pPr>
              <w:jc w:val="left"/>
            </w:pPr>
            <w:r>
              <w:rPr>
                <w:b w:val="false"/>
                <w:bCs w:val="false"/>
                <w:color w:val="0F172A"/>
              </w:rPr>
              <w:t xml:space="preserve">Standard clause that re-use requires the council’s permission.</w:t>
            </w:r>
          </w:p>
        </w:tc>
      </w:tr>
      <w:tr>
        <w:tc>
          <w:tcPr>
            <w:tcW w:type="dxa" w:w="900"/>
            <w:shd w:fill="FFFFFF" w:val="clear"/>
            <w:tcMar>
              <w:top w:type="dxa" w:w="70"/>
              <w:left w:type="dxa" w:w="120"/>
              <w:bottom w:type="dxa" w:w="70"/>
              <w:right w:type="dxa" w:w="120"/>
            </w:tcMar>
            <w:vAlign w:val="center"/>
          </w:tcPr>
          <w:p>
            <w:pPr>
              <w:jc w:val="left"/>
            </w:pPr>
            <w:r>
              <w:rPr>
                <w:b w:val="false"/>
                <w:bCs w:val="false"/>
                <w:color w:val="0F172A"/>
              </w:rPr>
              <w:t xml:space="preserve">9</w:t>
            </w:r>
          </w:p>
        </w:tc>
        <w:tc>
          <w:tcPr>
            <w:tcW w:type="dxa" w:w="2900"/>
            <w:shd w:fill="FFFFFF" w:val="clear"/>
            <w:tcMar>
              <w:top w:type="dxa" w:w="70"/>
              <w:left w:type="dxa" w:w="120"/>
              <w:bottom w:type="dxa" w:w="70"/>
              <w:right w:type="dxa" w:w="120"/>
            </w:tcMar>
            <w:vAlign w:val="center"/>
          </w:tcPr>
          <w:p>
            <w:pPr>
              <w:jc w:val="left"/>
            </w:pPr>
            <w:r>
              <w:rPr>
                <w:b w:val="false"/>
                <w:bCs w:val="false"/>
                <w:color w:val="0F172A"/>
              </w:rPr>
              <w:t xml:space="preserve">Right to review / appeal</w:t>
            </w:r>
          </w:p>
        </w:tc>
        <w:tc>
          <w:tcPr>
            <w:tcW w:type="dxa" w:w="5560"/>
            <w:shd w:fill="FFFFFF" w:val="clear"/>
            <w:tcMar>
              <w:top w:type="dxa" w:w="70"/>
              <w:left w:type="dxa" w:w="120"/>
              <w:bottom w:type="dxa" w:w="70"/>
              <w:right w:type="dxa" w:w="120"/>
            </w:tcMar>
            <w:vAlign w:val="center"/>
          </w:tcPr>
          <w:p>
            <w:pPr>
              <w:jc w:val="left"/>
            </w:pPr>
            <w:r>
              <w:rPr>
                <w:b w:val="false"/>
                <w:bCs w:val="false"/>
                <w:color w:val="0F172A"/>
              </w:rPr>
              <w:t xml:space="preserve">Internal review via the Information Governance Unit, then complaint to the ICO.</w:t>
            </w:r>
          </w:p>
        </w:tc>
      </w:tr>
      <w:tr>
        <w:tc>
          <w:tcPr>
            <w:tcW w:type="dxa" w:w="900"/>
            <w:shd w:fill="F4F8FB" w:val="clear"/>
            <w:tcMar>
              <w:top w:type="dxa" w:w="70"/>
              <w:left w:type="dxa" w:w="120"/>
              <w:bottom w:type="dxa" w:w="70"/>
              <w:right w:type="dxa" w:w="120"/>
            </w:tcMar>
            <w:vAlign w:val="center"/>
          </w:tcPr>
          <w:p>
            <w:pPr>
              <w:jc w:val="left"/>
            </w:pPr>
            <w:r>
              <w:rPr>
                <w:b w:val="false"/>
                <w:bCs w:val="false"/>
                <w:color w:val="0F172A"/>
              </w:rPr>
              <w:t xml:space="preserve">10</w:t>
            </w:r>
          </w:p>
        </w:tc>
        <w:tc>
          <w:tcPr>
            <w:tcW w:type="dxa" w:w="2900"/>
            <w:shd w:fill="F4F8FB" w:val="clear"/>
            <w:tcMar>
              <w:top w:type="dxa" w:w="70"/>
              <w:left w:type="dxa" w:w="120"/>
              <w:bottom w:type="dxa" w:w="70"/>
              <w:right w:type="dxa" w:w="120"/>
            </w:tcMar>
            <w:vAlign w:val="center"/>
          </w:tcPr>
          <w:p>
            <w:pPr>
              <w:jc w:val="left"/>
            </w:pPr>
            <w:r>
              <w:rPr>
                <w:b w:val="false"/>
                <w:bCs w:val="false"/>
                <w:color w:val="0F172A"/>
              </w:rPr>
              <w:t xml:space="preserve">Sign-off</w:t>
            </w:r>
          </w:p>
        </w:tc>
        <w:tc>
          <w:tcPr>
            <w:tcW w:type="dxa" w:w="5560"/>
            <w:shd w:fill="F4F8FB" w:val="clear"/>
            <w:tcMar>
              <w:top w:type="dxa" w:w="70"/>
              <w:left w:type="dxa" w:w="120"/>
              <w:bottom w:type="dxa" w:w="70"/>
              <w:right w:type="dxa" w:w="120"/>
            </w:tcMar>
            <w:vAlign w:val="center"/>
          </w:tcPr>
          <w:p>
            <w:pPr>
              <w:jc w:val="left"/>
            </w:pPr>
            <w:r>
              <w:rPr>
                <w:b w:val="false"/>
                <w:bCs w:val="false"/>
                <w:color w:val="0F172A"/>
              </w:rPr>
              <w:t xml:space="preserve">“Yours sincerely / faithfully”, Information Governance Unit, Oxfordshire County Council.</w:t>
            </w:r>
          </w:p>
        </w:tc>
      </w:tr>
    </w:tbl>
    <w:p>
      <w:r>
        <w:br w:type="page"/>
      </w:r>
    </w:p>
    <w:p>
      <w:pPr>
        <w:pStyle w:val="Heading1"/>
      </w:pPr>
      <w:r>
        <w:t xml:space="preserve">4. Annotated template — information held in full</w:t>
      </w:r>
    </w:p>
    <w:p>
      <w:pPr>
        <w:spacing w:after="120" w:line="276"/>
      </w:pPr>
      <w:r>
        <w:t xml:space="preserve">Square-bracketed text is merged automatically from the case record; the rest is fixed house style.</w:t>
      </w:r>
    </w:p>
    <w:tbl>
      <w:tblPr>
        <w:tblW w:type="dxa" w:w="9360"/>
        <w:tblBorders>
          <w:top w:val="single" w:color="1D6FB8" w:sz="6"/>
          <w:left w:val="single" w:color="1D6FB8" w:sz="6"/>
          <w:bottom w:val="single" w:color="1D6FB8" w:sz="6"/>
          <w:right w:val="single" w:color="1D6FB8" w:sz="6"/>
          <w:insideH w:val="single" w:color="auto" w:sz="4"/>
          <w:insideV w:val="single" w:color="auto" w:sz="4"/>
        </w:tblBorders>
      </w:tblPr>
      <w:tblGrid>
        <w:gridCol w:w="9360"/>
      </w:tblGrid>
      <w:tr>
        <w:tc>
          <w:tcPr>
            <w:tcW w:type="dxa" w:w="9360"/>
            <w:shd w:fill="FBFCFE" w:val="clear"/>
            <w:tcMar>
              <w:top w:type="dxa" w:w="160"/>
              <w:left w:type="dxa" w:w="200"/>
              <w:bottom w:type="dxa" w:w="160"/>
              <w:right w:type="dxa" w:w="200"/>
            </w:tcMar>
          </w:tcPr>
          <w:p>
            <w:pPr>
              <w:spacing w:after="20" w:line="264"/>
              <w:jc w:val="left"/>
            </w:pPr>
            <w:r>
              <w:rPr>
                <w:rFonts w:ascii="Arial" w:cs="Arial" w:eastAsia="Arial" w:hAnsi="Arial"/>
                <w:b/>
                <w:bCs/>
                <w:color w:val="0F3D57"/>
                <w:sz w:val="19"/>
                <w:szCs w:val="19"/>
              </w:rPr>
              <w:t xml:space="preserve">Information Governance Unit</w:t>
            </w:r>
          </w:p>
          <w:p>
            <w:pPr>
              <w:spacing w:after="140" w:line="264"/>
              <w:jc w:val="left"/>
            </w:pPr>
            <w:r>
              <w:rPr>
                <w:rFonts w:ascii="Arial" w:cs="Arial" w:eastAsia="Arial" w:hAnsi="Arial"/>
                <w:color w:val="475569"/>
                <w:sz w:val="17"/>
                <w:szCs w:val="17"/>
              </w:rPr>
              <w:t xml:space="preserve">Oxfordshire County Council, County Hall, New Road, Oxford, OX1 1ND</w:t>
            </w:r>
          </w:p>
          <w:p>
            <w:pPr>
              <w:spacing w:after="20" w:line="264"/>
              <w:jc w:val="left"/>
            </w:pPr>
            <w:r>
              <w:rPr>
                <w:rFonts w:ascii="Arial" w:cs="Arial" w:eastAsia="Arial" w:hAnsi="Arial"/>
                <w:color w:val="475569"/>
                <w:sz w:val="19"/>
                <w:szCs w:val="19"/>
              </w:rPr>
              <w:t xml:space="preserve">[Requester name and address]</w:t>
            </w:r>
          </w:p>
          <w:p>
            <w:pPr>
              <w:spacing w:after="160" w:line="264"/>
              <w:jc w:val="left"/>
            </w:pPr>
            <w:r>
              <w:rPr>
                <w:rFonts w:ascii="Arial" w:cs="Arial" w:eastAsia="Arial" w:hAnsi="Arial"/>
                <w:color w:val="475569"/>
                <w:sz w:val="19"/>
                <w:szCs w:val="19"/>
              </w:rPr>
              <w:t xml:space="preserve">Our ref: FOI/[xxxxx]            Date: [dd Month yyyy]</w:t>
            </w:r>
          </w:p>
          <w:p>
            <w:pPr>
              <w:spacing w:after="120" w:line="264"/>
              <w:jc w:val="left"/>
            </w:pPr>
            <w:r>
              <w:rPr>
                <w:rFonts w:ascii="Arial" w:cs="Arial" w:eastAsia="Arial" w:hAnsi="Arial"/>
                <w:sz w:val="19"/>
                <w:szCs w:val="19"/>
              </w:rPr>
              <w:t xml:space="preserve">Dear [requester name],</w:t>
            </w:r>
          </w:p>
          <w:p>
            <w:pPr>
              <w:spacing w:after="120" w:line="264"/>
              <w:jc w:val="left"/>
            </w:pPr>
            <w:r>
              <w:rPr>
                <w:rFonts w:ascii="Arial" w:cs="Arial" w:eastAsia="Arial" w:hAnsi="Arial"/>
                <w:b/>
                <w:bCs/>
                <w:sz w:val="19"/>
                <w:szCs w:val="19"/>
              </w:rPr>
              <w:t xml:space="preserve">Request for information under the Freedom of Information Act 2000</w:t>
            </w:r>
          </w:p>
          <w:p>
            <w:pPr>
              <w:spacing w:after="120" w:line="264"/>
              <w:jc w:val="left"/>
            </w:pPr>
            <w:r>
              <w:rPr>
                <w:rFonts w:ascii="Arial" w:cs="Arial" w:eastAsia="Arial" w:hAnsi="Arial"/>
                <w:sz w:val="19"/>
                <w:szCs w:val="19"/>
              </w:rPr>
              <w:t xml:space="preserve">Thank you for your request for information received on [date], which has been considered under the Freedom of Information Act 2000.</w:t>
            </w:r>
          </w:p>
          <w:p>
            <w:pPr>
              <w:spacing w:after="140" w:line="264"/>
              <w:jc w:val="left"/>
            </w:pPr>
            <w:r>
              <w:rPr>
                <w:rFonts w:ascii="Arial" w:cs="Arial" w:eastAsia="Arial" w:hAnsi="Arial"/>
                <w:sz w:val="19"/>
                <w:szCs w:val="19"/>
              </w:rPr>
              <w:t xml:space="preserve">I can confirm that Oxfordshire County Council does hold the information you have requested. Please see our response to each of your questions below.</w:t>
            </w:r>
          </w:p>
          <w:p>
            <w:pPr>
              <w:spacing w:after="40" w:line="264"/>
              <w:jc w:val="left"/>
            </w:pPr>
            <w:r>
              <w:rPr>
                <w:rFonts w:ascii="Arial" w:cs="Arial" w:eastAsia="Arial" w:hAnsi="Arial"/>
                <w:b/>
                <w:bCs/>
                <w:sz w:val="19"/>
                <w:szCs w:val="19"/>
              </w:rPr>
              <w:t xml:space="preserve">You asked:</w:t>
            </w:r>
          </w:p>
          <w:p>
            <w:pPr>
              <w:spacing w:after="20" w:line="264"/>
              <w:jc w:val="left"/>
            </w:pPr>
            <w:r>
              <w:rPr>
                <w:rFonts w:ascii="Arial" w:cs="Arial" w:eastAsia="Arial" w:hAnsi="Arial"/>
                <w:sz w:val="19"/>
                <w:szCs w:val="19"/>
              </w:rPr>
              <w:t xml:space="preserve">1.  [Question one, restated in the requester’s words]</w:t>
            </w:r>
          </w:p>
          <w:p>
            <w:pPr>
              <w:spacing w:after="100" w:line="264"/>
              <w:jc w:val="left"/>
            </w:pPr>
            <w:r>
              <w:rPr>
                <w:rFonts w:ascii="Arial" w:cs="Arial" w:eastAsia="Arial" w:hAnsi="Arial"/>
                <w:sz w:val="19"/>
                <w:szCs w:val="19"/>
              </w:rPr>
              <w:t xml:space="preserve">Our response:  [Direct answer, grounded in the source record.]</w:t>
            </w:r>
          </w:p>
          <w:p>
            <w:pPr>
              <w:spacing w:after="20" w:line="264"/>
              <w:jc w:val="left"/>
            </w:pPr>
            <w:r>
              <w:rPr>
                <w:rFonts w:ascii="Arial" w:cs="Arial" w:eastAsia="Arial" w:hAnsi="Arial"/>
                <w:sz w:val="19"/>
                <w:szCs w:val="19"/>
              </w:rPr>
              <w:t xml:space="preserve">2.  [Question two…]</w:t>
            </w:r>
          </w:p>
          <w:p>
            <w:pPr>
              <w:spacing w:after="140" w:line="264"/>
              <w:jc w:val="left"/>
            </w:pPr>
            <w:r>
              <w:rPr>
                <w:rFonts w:ascii="Arial" w:cs="Arial" w:eastAsia="Arial" w:hAnsi="Arial"/>
                <w:sz w:val="19"/>
                <w:szCs w:val="19"/>
              </w:rPr>
              <w:t xml:space="preserve">Our response:  [Direct answer…]</w:t>
            </w:r>
          </w:p>
          <w:p>
            <w:pPr>
              <w:spacing w:after="40" w:line="264"/>
              <w:jc w:val="left"/>
            </w:pPr>
            <w:r>
              <w:rPr>
                <w:rFonts w:ascii="Arial" w:cs="Arial" w:eastAsia="Arial" w:hAnsi="Arial"/>
                <w:b/>
                <w:bCs/>
                <w:sz w:val="19"/>
                <w:szCs w:val="19"/>
              </w:rPr>
              <w:t xml:space="preserve">Re-use of information</w:t>
            </w:r>
          </w:p>
          <w:p>
            <w:pPr>
              <w:spacing w:after="140" w:line="264"/>
              <w:jc w:val="left"/>
            </w:pPr>
            <w:r>
              <w:rPr>
                <w:rFonts w:ascii="Arial" w:cs="Arial" w:eastAsia="Arial" w:hAnsi="Arial"/>
                <w:sz w:val="19"/>
                <w:szCs w:val="19"/>
              </w:rPr>
              <w:t xml:space="preserve">Information released under the Freedom of Information Act 2000 may only be re-used with the council’s permission. Re-use without permission may breach copyright.</w:t>
            </w:r>
          </w:p>
          <w:p>
            <w:pPr>
              <w:spacing w:after="40" w:line="264"/>
              <w:jc w:val="left"/>
            </w:pPr>
            <w:r>
              <w:rPr>
                <w:rFonts w:ascii="Arial" w:cs="Arial" w:eastAsia="Arial" w:hAnsi="Arial"/>
                <w:b/>
                <w:bCs/>
                <w:sz w:val="19"/>
                <w:szCs w:val="19"/>
              </w:rPr>
              <w:t xml:space="preserve">If you are dissatisfied</w:t>
            </w:r>
          </w:p>
          <w:p>
            <w:pPr>
              <w:spacing w:after="140" w:line="264"/>
              <w:jc w:val="left"/>
            </w:pPr>
            <w:r>
              <w:rPr>
                <w:rFonts w:ascii="Arial" w:cs="Arial" w:eastAsia="Arial" w:hAnsi="Arial"/>
                <w:sz w:val="19"/>
                <w:szCs w:val="19"/>
              </w:rPr>
              <w:t xml:space="preserve">If you are dissatisfied with the handling of your request, you may ask for an internal review by writing to the Information Governance Unit at the address above. If you remain dissatisfied after the internal review, you may complain to the Information Commissioner’s Office, Wycliffe House, Water Lane, Wilmslow, Cheshire, SK9 5AF (www.ico.org.uk).</w:t>
            </w:r>
          </w:p>
          <w:p>
            <w:pPr>
              <w:spacing w:after="20" w:line="264"/>
              <w:jc w:val="left"/>
            </w:pPr>
            <w:r>
              <w:rPr>
                <w:rFonts w:ascii="Arial" w:cs="Arial" w:eastAsia="Arial" w:hAnsi="Arial"/>
                <w:sz w:val="19"/>
                <w:szCs w:val="19"/>
              </w:rPr>
              <w:t xml:space="preserve">Yours sincerely,</w:t>
            </w:r>
          </w:p>
          <w:p>
            <w:pPr>
              <w:spacing w:after="0" w:line="264"/>
              <w:jc w:val="left"/>
            </w:pPr>
            <w:r>
              <w:rPr>
                <w:rFonts w:ascii="Arial" w:cs="Arial" w:eastAsia="Arial" w:hAnsi="Arial"/>
                <w:sz w:val="19"/>
                <w:szCs w:val="19"/>
              </w:rPr>
              <w:t xml:space="preserve">Information Governance Unit</w:t>
            </w:r>
          </w:p>
          <w:p>
            <w:pPr>
              <w:spacing w:after="0" w:line="264"/>
              <w:jc w:val="left"/>
            </w:pPr>
            <w:r>
              <w:rPr>
                <w:rFonts w:ascii="Arial" w:cs="Arial" w:eastAsia="Arial" w:hAnsi="Arial"/>
                <w:color w:val="475569"/>
                <w:sz w:val="17"/>
                <w:szCs w:val="17"/>
              </w:rPr>
              <w:t xml:space="preserve">Oxfordshire County Council</w:t>
            </w:r>
          </w:p>
        </w:tc>
      </w:tr>
    </w:tbl>
    <w:p>
      <w:r>
        <w:br w:type="page"/>
      </w:r>
    </w:p>
    <w:p>
      <w:pPr>
        <w:pStyle w:val="Heading1"/>
      </w:pPr>
      <w:r>
        <w:t xml:space="preserve">5. Standard variant blocks</w:t>
      </w:r>
    </w:p>
    <w:p>
      <w:pPr>
        <w:pStyle w:val="Heading2"/>
      </w:pPr>
      <w:r>
        <w:t xml:space="preserve">5.1 Information not held</w:t>
      </w:r>
    </w:p>
    <w:tbl>
      <w:tblPr>
        <w:tblW w:type="dxa" w:w="9360"/>
        <w:tblBorders>
          <w:top w:val="single" w:color="1D6FB8" w:sz="6"/>
          <w:left w:val="single" w:color="1D6FB8" w:sz="6"/>
          <w:bottom w:val="single" w:color="1D6FB8" w:sz="6"/>
          <w:right w:val="single" w:color="1D6FB8" w:sz="6"/>
          <w:insideH w:val="single" w:color="auto" w:sz="4"/>
          <w:insideV w:val="single" w:color="auto" w:sz="4"/>
        </w:tblBorders>
      </w:tblPr>
      <w:tblGrid>
        <w:gridCol w:w="9360"/>
      </w:tblGrid>
      <w:tr>
        <w:tc>
          <w:tcPr>
            <w:tcW w:type="dxa" w:w="9360"/>
            <w:shd w:fill="FBFCFE" w:val="clear"/>
            <w:tcMar>
              <w:top w:type="dxa" w:w="160"/>
              <w:left w:type="dxa" w:w="200"/>
              <w:bottom w:type="dxa" w:w="160"/>
              <w:right w:type="dxa" w:w="200"/>
            </w:tcMar>
          </w:tcPr>
          <w:p>
            <w:pPr>
              <w:spacing w:after="80" w:line="264"/>
              <w:jc w:val="left"/>
            </w:pPr>
            <w:r>
              <w:rPr>
                <w:rFonts w:ascii="Arial" w:cs="Arial" w:eastAsia="Arial" w:hAnsi="Arial"/>
                <w:sz w:val="19"/>
                <w:szCs w:val="19"/>
              </w:rPr>
              <w:t xml:space="preserve">Your request has been considered under the Freedom of Information Act 2000. Having made appropriate enquiries, I can confirm that Oxfordshire County Council does not hold the information you have requested. [Where helpful, signpost the body that may hold it.]</w:t>
            </w:r>
          </w:p>
        </w:tc>
      </w:tr>
    </w:tbl>
    <w:p>
      <w:pPr>
        <w:pStyle w:val="Heading2"/>
      </w:pPr>
      <w:r>
        <w:t xml:space="preserve">5.2 Information withheld under an exemption</w:t>
      </w:r>
    </w:p>
    <w:tbl>
      <w:tblPr>
        <w:tblW w:type="dxa" w:w="9360"/>
        <w:tblBorders>
          <w:top w:val="single" w:color="1D6FB8" w:sz="6"/>
          <w:left w:val="single" w:color="1D6FB8" w:sz="6"/>
          <w:bottom w:val="single" w:color="1D6FB8" w:sz="6"/>
          <w:right w:val="single" w:color="1D6FB8" w:sz="6"/>
          <w:insideH w:val="single" w:color="auto" w:sz="4"/>
          <w:insideV w:val="single" w:color="auto" w:sz="4"/>
        </w:tblBorders>
      </w:tblPr>
      <w:tblGrid>
        <w:gridCol w:w="9360"/>
      </w:tblGrid>
      <w:tr>
        <w:tc>
          <w:tcPr>
            <w:tcW w:type="dxa" w:w="9360"/>
            <w:shd w:fill="FBFCFE" w:val="clear"/>
            <w:tcMar>
              <w:top w:type="dxa" w:w="160"/>
              <w:left w:type="dxa" w:w="200"/>
              <w:bottom w:type="dxa" w:w="160"/>
              <w:right w:type="dxa" w:w="200"/>
            </w:tcMar>
          </w:tcPr>
          <w:p>
            <w:pPr>
              <w:spacing w:after="80" w:line="264"/>
              <w:jc w:val="left"/>
            </w:pPr>
            <w:r>
              <w:rPr>
                <w:rFonts w:ascii="Arial" w:cs="Arial" w:eastAsia="Arial" w:hAnsi="Arial"/>
                <w:sz w:val="19"/>
                <w:szCs w:val="19"/>
              </w:rPr>
              <w:t xml:space="preserve">Some of the information you requested is being withheld under section [xx] of the Freedom of Information Act 2000, which relates to [subject of the exemption].</w:t>
            </w:r>
          </w:p>
          <w:p>
            <w:pPr>
              <w:spacing w:after="0" w:line="264"/>
              <w:jc w:val="left"/>
            </w:pPr>
            <w:r>
              <w:rPr>
                <w:rFonts w:ascii="Arial" w:cs="Arial" w:eastAsia="Arial" w:hAnsi="Arial"/>
                <w:sz w:val="19"/>
                <w:szCs w:val="19"/>
              </w:rPr>
              <w:t xml:space="preserve">This is a qualified exemption, so we have carried out a public-interest test. The public interest in disclosure is […]; the public interest in maintaining the exemption is […]. On balance we have concluded that the public interest favours [withholding / disclosing] this information.</w:t>
            </w:r>
          </w:p>
        </w:tc>
      </w:tr>
    </w:tbl>
    <w:p>
      <w:pPr>
        <w:pStyle w:val="Heading2"/>
      </w:pPr>
      <w:r>
        <w:t xml:space="preserve">5.3 Cost limit exceeded (section 12)</w:t>
      </w:r>
    </w:p>
    <w:tbl>
      <w:tblPr>
        <w:tblW w:type="dxa" w:w="9360"/>
        <w:tblBorders>
          <w:top w:val="single" w:color="1D6FB8" w:sz="6"/>
          <w:left w:val="single" w:color="1D6FB8" w:sz="6"/>
          <w:bottom w:val="single" w:color="1D6FB8" w:sz="6"/>
          <w:right w:val="single" w:color="1D6FB8" w:sz="6"/>
          <w:insideH w:val="single" w:color="auto" w:sz="4"/>
          <w:insideV w:val="single" w:color="auto" w:sz="4"/>
        </w:tblBorders>
      </w:tblPr>
      <w:tblGrid>
        <w:gridCol w:w="9360"/>
      </w:tblGrid>
      <w:tr>
        <w:tc>
          <w:tcPr>
            <w:tcW w:type="dxa" w:w="9360"/>
            <w:shd w:fill="FBFCFE" w:val="clear"/>
            <w:tcMar>
              <w:top w:type="dxa" w:w="160"/>
              <w:left w:type="dxa" w:w="200"/>
              <w:bottom w:type="dxa" w:w="160"/>
              <w:right w:type="dxa" w:w="200"/>
            </w:tcMar>
          </w:tcPr>
          <w:p>
            <w:pPr>
              <w:spacing w:after="80" w:line="264"/>
              <w:jc w:val="left"/>
            </w:pPr>
            <w:r>
              <w:rPr>
                <w:rFonts w:ascii="Arial" w:cs="Arial" w:eastAsia="Arial" w:hAnsi="Arial"/>
                <w:sz w:val="19"/>
                <w:szCs w:val="19"/>
              </w:rPr>
              <w:t xml:space="preserve">We estimate that complying with your request would exceed the appropriate cost limit set out in section 12 of the Freedom of Information Act 2000. We are therefore not obliged to comply. We would be happy to advise on how you might refine your request to bring it within the limit.</w:t>
            </w:r>
          </w:p>
        </w:tc>
      </w:tr>
    </w:tbl>
    <w:p>
      <w:pPr>
        <w:pStyle w:val="Heading2"/>
      </w:pPr>
      <w:r>
        <w:t xml:space="preserve">5.4 Environmental information (EIR)</w:t>
      </w:r>
    </w:p>
    <w:p>
      <w:pPr>
        <w:spacing w:after="120" w:line="276"/>
      </w:pPr>
      <w:r>
        <w:t xml:space="preserve">Where the request concerns environmental information, cite the Environmental Information Regulations 2004 instead of FOIA, apply EIR exceptions, and use EIR timescales (20 working days, extendable to 40 for complex requests).</w:t>
      </w:r>
    </w:p>
    <w:p>
      <w:r>
        <w:br w:type="page"/>
      </w:r>
    </w:p>
    <w:p>
      <w:pPr>
        <w:pStyle w:val="Heading1"/>
      </w:pPr>
      <w:r>
        <w:t xml:space="preserve">6. House-style rules for the drafting model</w:t>
      </w:r>
    </w:p>
    <w:p>
      <w:pPr>
        <w:pStyle w:val="ListParagraph"/>
        <w:numPr>
          <w:ilvl w:val="0"/>
          <w:numId w:val="2"/>
        </w:numPr>
        <w:spacing w:after="60" w:line="268"/>
      </w:pPr>
      <w:r>
        <w:rPr>
          <w:b/>
          <w:bCs/>
        </w:rPr>
        <w:t xml:space="preserve">Tone. </w:t>
      </w:r>
      <w:r>
        <w:t xml:space="preserve">Plain, courteous, factual British English. Address the requester directly (“you asked… our response…”).</w:t>
      </w:r>
    </w:p>
    <w:p>
      <w:pPr>
        <w:pStyle w:val="ListParagraph"/>
        <w:numPr>
          <w:ilvl w:val="0"/>
          <w:numId w:val="2"/>
        </w:numPr>
        <w:spacing w:after="60" w:line="268"/>
      </w:pPr>
      <w:r>
        <w:rPr>
          <w:b/>
          <w:bCs/>
        </w:rPr>
        <w:t xml:space="preserve">Spelling. </w:t>
      </w:r>
      <w:r>
        <w:t xml:space="preserve">UK spelling (organise, recognise, programme). Refer to the council as “Oxfordshire County Council” or “the council”.</w:t>
      </w:r>
    </w:p>
    <w:p>
      <w:pPr>
        <w:pStyle w:val="ListParagraph"/>
        <w:numPr>
          <w:ilvl w:val="0"/>
          <w:numId w:val="2"/>
        </w:numPr>
        <w:spacing w:after="60" w:line="268"/>
      </w:pPr>
      <w:r>
        <w:rPr>
          <w:b/>
          <w:bCs/>
        </w:rPr>
        <w:t xml:space="preserve">Restate the question. </w:t>
      </w:r>
      <w:r>
        <w:t xml:space="preserve">Always answer in the requester’s order and quote each question so the response is self-contained.</w:t>
      </w:r>
    </w:p>
    <w:p>
      <w:pPr>
        <w:pStyle w:val="ListParagraph"/>
        <w:numPr>
          <w:ilvl w:val="0"/>
          <w:numId w:val="2"/>
        </w:numPr>
        <w:spacing w:after="60" w:line="268"/>
      </w:pPr>
      <w:r>
        <w:rPr>
          <w:b/>
          <w:bCs/>
        </w:rPr>
        <w:t xml:space="preserve">Ground every fact. </w:t>
      </w:r>
      <w:r>
        <w:t xml:space="preserve">Each figure or statement must trace to a source record; never estimate or infer data that is not held.</w:t>
      </w:r>
    </w:p>
    <w:p>
      <w:pPr>
        <w:pStyle w:val="ListParagraph"/>
        <w:numPr>
          <w:ilvl w:val="0"/>
          <w:numId w:val="2"/>
        </w:numPr>
        <w:spacing w:after="60" w:line="268"/>
      </w:pPr>
      <w:r>
        <w:rPr>
          <w:b/>
          <w:bCs/>
        </w:rPr>
        <w:t xml:space="preserve">Numbers and dates. </w:t>
      </w:r>
      <w:r>
        <w:t xml:space="preserve">Write dates as “1 June 2026”; use figures for data; state the period the data covers.</w:t>
      </w:r>
    </w:p>
    <w:p>
      <w:pPr>
        <w:pStyle w:val="ListParagraph"/>
        <w:numPr>
          <w:ilvl w:val="0"/>
          <w:numId w:val="2"/>
        </w:numPr>
        <w:spacing w:after="60" w:line="268"/>
      </w:pPr>
      <w:r>
        <w:rPr>
          <w:b/>
          <w:bCs/>
        </w:rPr>
        <w:t xml:space="preserve">No personal data. </w:t>
      </w:r>
      <w:r>
        <w:t xml:space="preserve">Redact third-party personal data; do not name junior staff; apply the section 40 exemption where relevant.</w:t>
      </w:r>
    </w:p>
    <w:p>
      <w:pPr>
        <w:pStyle w:val="ListParagraph"/>
        <w:numPr>
          <w:ilvl w:val="0"/>
          <w:numId w:val="2"/>
        </w:numPr>
        <w:spacing w:after="60" w:line="268"/>
      </w:pPr>
      <w:r>
        <w:rPr>
          <w:b/>
          <w:bCs/>
        </w:rPr>
        <w:t xml:space="preserve">Always include rights. </w:t>
      </w:r>
      <w:r>
        <w:t xml:space="preserve">The internal-review and ICO paragraph appears on every response, even full disclosures.</w:t>
      </w:r>
    </w:p>
    <w:p>
      <w:pPr>
        <w:pStyle w:val="ListParagraph"/>
        <w:numPr>
          <w:ilvl w:val="0"/>
          <w:numId w:val="2"/>
        </w:numPr>
        <w:spacing w:after="60" w:line="268"/>
      </w:pPr>
      <w:r>
        <w:rPr>
          <w:b/>
          <w:bCs/>
        </w:rPr>
        <w:t xml:space="preserve">Attachments. </w:t>
      </w:r>
      <w:r>
        <w:t xml:space="preserve">Large datasets go in clearly named appendices (spreadsheets/PDFs), referenced from the letter body.</w:t>
      </w:r>
    </w:p>
    <w:p>
      <w:pPr>
        <w:pStyle w:val="Heading1"/>
      </w:pPr>
      <w:r>
        <w:t xml:space="preserve">7. Pre-approval checklist</w:t>
      </w:r>
    </w:p>
    <w:p>
      <w:pPr>
        <w:spacing w:after="120" w:line="276"/>
      </w:pPr>
      <w:r>
        <w:t xml:space="preserve">The reviewer (and an automated pre-check) confirms each item before a draft can move to approval.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800"/>
        <w:gridCol w:w="2560"/>
      </w:tblGrid>
      <w:tr>
        <w:trPr>
          <w:tblHeader/>
        </w:trPr>
        <w:tc>
          <w:tcPr>
            <w:tcW w:type="dxa" w:w="6800"/>
            <w:shd w:fill="7C3AED" w:val="clear"/>
            <w:tcMar>
              <w:top w:type="dxa" w:w="70"/>
              <w:left w:type="dxa" w:w="120"/>
              <w:bottom w:type="dxa" w:w="70"/>
              <w:right w:type="dxa" w:w="120"/>
            </w:tcMar>
            <w:vAlign w:val="center"/>
          </w:tcPr>
          <w:p>
            <w:pPr>
              <w:jc w:val="left"/>
            </w:pPr>
            <w:r>
              <w:rPr>
                <w:b/>
                <w:bCs/>
                <w:color w:val="FFFFFF"/>
              </w:rPr>
              <w:t xml:space="preserve">Check</w:t>
            </w:r>
          </w:p>
        </w:tc>
        <w:tc>
          <w:tcPr>
            <w:tcW w:type="dxa" w:w="2560"/>
            <w:shd w:fill="7C3AED" w:val="clear"/>
            <w:tcMar>
              <w:top w:type="dxa" w:w="70"/>
              <w:left w:type="dxa" w:w="120"/>
              <w:bottom w:type="dxa" w:w="70"/>
              <w:right w:type="dxa" w:w="120"/>
            </w:tcMar>
            <w:vAlign w:val="center"/>
          </w:tcPr>
          <w:p>
            <w:pPr>
              <w:jc w:val="left"/>
            </w:pPr>
            <w:r>
              <w:rPr>
                <w:b/>
                <w:bCs/>
                <w:color w:val="FFFFFF"/>
              </w:rPr>
              <w:t xml:space="preserve">Must be true</w:t>
            </w:r>
          </w:p>
        </w:tc>
      </w:tr>
      <w:tr>
        <w:tc>
          <w:tcPr>
            <w:tcW w:type="dxa" w:w="6800"/>
            <w:shd w:fill="FFFFFF" w:val="clear"/>
            <w:tcMar>
              <w:top w:type="dxa" w:w="70"/>
              <w:left w:type="dxa" w:w="120"/>
              <w:bottom w:type="dxa" w:w="70"/>
              <w:right w:type="dxa" w:w="120"/>
            </w:tcMar>
            <w:vAlign w:val="center"/>
          </w:tcPr>
          <w:p>
            <w:pPr>
              <w:jc w:val="left"/>
            </w:pPr>
            <w:r>
              <w:rPr>
                <w:b w:val="false"/>
                <w:bCs w:val="false"/>
                <w:color w:val="0F172A"/>
              </w:rPr>
              <w:t xml:space="preserve">Correct statute cited (FOIA vs EIR)</w:t>
            </w:r>
          </w:p>
        </w:tc>
        <w:tc>
          <w:tcPr>
            <w:tcW w:type="dxa" w:w="2560"/>
            <w:shd w:fill="FFFFFF"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4F8FB" w:val="clear"/>
            <w:tcMar>
              <w:top w:type="dxa" w:w="70"/>
              <w:left w:type="dxa" w:w="120"/>
              <w:bottom w:type="dxa" w:w="70"/>
              <w:right w:type="dxa" w:w="120"/>
            </w:tcMar>
            <w:vAlign w:val="center"/>
          </w:tcPr>
          <w:p>
            <w:pPr>
              <w:jc w:val="left"/>
            </w:pPr>
            <w:r>
              <w:rPr>
                <w:b w:val="false"/>
                <w:bCs w:val="false"/>
                <w:color w:val="0F172A"/>
              </w:rPr>
              <w:t xml:space="preserve">Confirm-or-deny statement present</w:t>
            </w:r>
          </w:p>
        </w:tc>
        <w:tc>
          <w:tcPr>
            <w:tcW w:type="dxa" w:w="2560"/>
            <w:shd w:fill="F4F8FB"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FFFFF" w:val="clear"/>
            <w:tcMar>
              <w:top w:type="dxa" w:w="70"/>
              <w:left w:type="dxa" w:w="120"/>
              <w:bottom w:type="dxa" w:w="70"/>
              <w:right w:type="dxa" w:w="120"/>
            </w:tcMar>
            <w:vAlign w:val="center"/>
          </w:tcPr>
          <w:p>
            <w:pPr>
              <w:jc w:val="left"/>
            </w:pPr>
            <w:r>
              <w:rPr>
                <w:b w:val="false"/>
                <w:bCs w:val="false"/>
                <w:color w:val="0F172A"/>
              </w:rPr>
              <w:t xml:space="preserve">Every question answered in order</w:t>
            </w:r>
          </w:p>
        </w:tc>
        <w:tc>
          <w:tcPr>
            <w:tcW w:type="dxa" w:w="2560"/>
            <w:shd w:fill="FFFFFF"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4F8FB" w:val="clear"/>
            <w:tcMar>
              <w:top w:type="dxa" w:w="70"/>
              <w:left w:type="dxa" w:w="120"/>
              <w:bottom w:type="dxa" w:w="70"/>
              <w:right w:type="dxa" w:w="120"/>
            </w:tcMar>
            <w:vAlign w:val="center"/>
          </w:tcPr>
          <w:p>
            <w:pPr>
              <w:jc w:val="left"/>
            </w:pPr>
            <w:r>
              <w:rPr>
                <w:b w:val="false"/>
                <w:bCs w:val="false"/>
                <w:color w:val="0F172A"/>
              </w:rPr>
              <w:t xml:space="preserve">Each fact traceable to a source record</w:t>
            </w:r>
          </w:p>
        </w:tc>
        <w:tc>
          <w:tcPr>
            <w:tcW w:type="dxa" w:w="2560"/>
            <w:shd w:fill="F4F8FB"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FFFFF" w:val="clear"/>
            <w:tcMar>
              <w:top w:type="dxa" w:w="70"/>
              <w:left w:type="dxa" w:w="120"/>
              <w:bottom w:type="dxa" w:w="70"/>
              <w:right w:type="dxa" w:w="120"/>
            </w:tcMar>
            <w:vAlign w:val="center"/>
          </w:tcPr>
          <w:p>
            <w:pPr>
              <w:jc w:val="left"/>
            </w:pPr>
            <w:r>
              <w:rPr>
                <w:b w:val="false"/>
                <w:bCs w:val="false"/>
                <w:color w:val="0F172A"/>
              </w:rPr>
              <w:t xml:space="preserve">Exemptions cited with reasons; PIT where qualified</w:t>
            </w:r>
          </w:p>
        </w:tc>
        <w:tc>
          <w:tcPr>
            <w:tcW w:type="dxa" w:w="2560"/>
            <w:shd w:fill="FFFFFF" w:val="clear"/>
            <w:tcMar>
              <w:top w:type="dxa" w:w="70"/>
              <w:left w:type="dxa" w:w="120"/>
              <w:bottom w:type="dxa" w:w="70"/>
              <w:right w:type="dxa" w:w="120"/>
            </w:tcMar>
            <w:vAlign w:val="center"/>
          </w:tcPr>
          <w:p>
            <w:pPr>
              <w:jc w:val="left"/>
            </w:pPr>
            <w:r>
              <w:rPr>
                <w:b w:val="false"/>
                <w:bCs w:val="false"/>
                <w:color w:val="0F172A"/>
              </w:rPr>
              <w:t xml:space="preserve">If applicable</w:t>
            </w:r>
          </w:p>
        </w:tc>
      </w:tr>
      <w:tr>
        <w:tc>
          <w:tcPr>
            <w:tcW w:type="dxa" w:w="6800"/>
            <w:shd w:fill="F4F8FB" w:val="clear"/>
            <w:tcMar>
              <w:top w:type="dxa" w:w="70"/>
              <w:left w:type="dxa" w:w="120"/>
              <w:bottom w:type="dxa" w:w="70"/>
              <w:right w:type="dxa" w:w="120"/>
            </w:tcMar>
            <w:vAlign w:val="center"/>
          </w:tcPr>
          <w:p>
            <w:pPr>
              <w:jc w:val="left"/>
            </w:pPr>
            <w:r>
              <w:rPr>
                <w:b w:val="false"/>
                <w:bCs w:val="false"/>
                <w:color w:val="0F172A"/>
              </w:rPr>
              <w:t xml:space="preserve">Third-party personal data redacted</w:t>
            </w:r>
          </w:p>
        </w:tc>
        <w:tc>
          <w:tcPr>
            <w:tcW w:type="dxa" w:w="2560"/>
            <w:shd w:fill="F4F8FB"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FFFFF" w:val="clear"/>
            <w:tcMar>
              <w:top w:type="dxa" w:w="70"/>
              <w:left w:type="dxa" w:w="120"/>
              <w:bottom w:type="dxa" w:w="70"/>
              <w:right w:type="dxa" w:w="120"/>
            </w:tcMar>
            <w:vAlign w:val="center"/>
          </w:tcPr>
          <w:p>
            <w:pPr>
              <w:jc w:val="left"/>
            </w:pPr>
            <w:r>
              <w:rPr>
                <w:b w:val="false"/>
                <w:bCs w:val="false"/>
                <w:color w:val="0F172A"/>
              </w:rPr>
              <w:t xml:space="preserve">Re-use clause included</w:t>
            </w:r>
          </w:p>
        </w:tc>
        <w:tc>
          <w:tcPr>
            <w:tcW w:type="dxa" w:w="2560"/>
            <w:shd w:fill="FFFFFF"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4F8FB" w:val="clear"/>
            <w:tcMar>
              <w:top w:type="dxa" w:w="70"/>
              <w:left w:type="dxa" w:w="120"/>
              <w:bottom w:type="dxa" w:w="70"/>
              <w:right w:type="dxa" w:w="120"/>
            </w:tcMar>
            <w:vAlign w:val="center"/>
          </w:tcPr>
          <w:p>
            <w:pPr>
              <w:jc w:val="left"/>
            </w:pPr>
            <w:r>
              <w:rPr>
                <w:b w:val="false"/>
                <w:bCs w:val="false"/>
                <w:color w:val="0F172A"/>
              </w:rPr>
              <w:t xml:space="preserve">Internal review + ICO wording included</w:t>
            </w:r>
          </w:p>
        </w:tc>
        <w:tc>
          <w:tcPr>
            <w:tcW w:type="dxa" w:w="2560"/>
            <w:shd w:fill="F4F8FB"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FFFFF" w:val="clear"/>
            <w:tcMar>
              <w:top w:type="dxa" w:w="70"/>
              <w:left w:type="dxa" w:w="120"/>
              <w:bottom w:type="dxa" w:w="70"/>
              <w:right w:type="dxa" w:w="120"/>
            </w:tcMar>
            <w:vAlign w:val="center"/>
          </w:tcPr>
          <w:p>
            <w:pPr>
              <w:jc w:val="left"/>
            </w:pPr>
            <w:r>
              <w:rPr>
                <w:b w:val="false"/>
                <w:bCs w:val="false"/>
                <w:color w:val="0F172A"/>
              </w:rPr>
              <w:t xml:space="preserve">Correct reference, date and responding-team sign-off</w:t>
            </w:r>
          </w:p>
        </w:tc>
        <w:tc>
          <w:tcPr>
            <w:tcW w:type="dxa" w:w="2560"/>
            <w:shd w:fill="FFFFFF" w:val="clear"/>
            <w:tcMar>
              <w:top w:type="dxa" w:w="70"/>
              <w:left w:type="dxa" w:w="120"/>
              <w:bottom w:type="dxa" w:w="70"/>
              <w:right w:type="dxa" w:w="120"/>
            </w:tcMar>
            <w:vAlign w:val="center"/>
          </w:tcPr>
          <w:p>
            <w:pPr>
              <w:jc w:val="left"/>
            </w:pPr>
            <w:r>
              <w:rPr>
                <w:b w:val="false"/>
                <w:bCs w:val="false"/>
                <w:color w:val="0F172A"/>
              </w:rPr>
              <w:t xml:space="preserve">Yes</w:t>
            </w:r>
          </w:p>
        </w:tc>
      </w:tr>
      <w:tr>
        <w:tc>
          <w:tcPr>
            <w:tcW w:type="dxa" w:w="6800"/>
            <w:shd w:fill="F4F8FB" w:val="clear"/>
            <w:tcMar>
              <w:top w:type="dxa" w:w="70"/>
              <w:left w:type="dxa" w:w="120"/>
              <w:bottom w:type="dxa" w:w="70"/>
              <w:right w:type="dxa" w:w="120"/>
            </w:tcMar>
            <w:vAlign w:val="center"/>
          </w:tcPr>
          <w:p>
            <w:pPr>
              <w:jc w:val="left"/>
            </w:pPr>
            <w:r>
              <w:rPr>
                <w:b w:val="false"/>
                <w:bCs w:val="false"/>
                <w:color w:val="0F172A"/>
              </w:rPr>
              <w:t xml:space="preserve">Within 20 working days of receipt</w:t>
            </w:r>
          </w:p>
        </w:tc>
        <w:tc>
          <w:tcPr>
            <w:tcW w:type="dxa" w:w="2560"/>
            <w:shd w:fill="F4F8FB" w:val="clear"/>
            <w:tcMar>
              <w:top w:type="dxa" w:w="70"/>
              <w:left w:type="dxa" w:w="120"/>
              <w:bottom w:type="dxa" w:w="70"/>
              <w:right w:type="dxa" w:w="120"/>
            </w:tcMar>
            <w:vAlign w:val="center"/>
          </w:tcPr>
          <w:p>
            <w:pPr>
              <w:jc w:val="left"/>
            </w:pPr>
            <w:r>
              <w:rPr>
                <w:b w:val="false"/>
                <w:bCs w:val="false"/>
                <w:color w:val="0F172A"/>
              </w:rPr>
              <w:t xml:space="preserve">Yes</w:t>
            </w:r>
          </w:p>
        </w:tc>
      </w:tr>
    </w:tbl>
    <w:p>
      <w:pPr>
        <w:pStyle w:val="Heading1"/>
      </w:pPr>
      <w:r>
        <w:t xml:space="preserve">8. How the format is learned and kept current</w:t>
      </w:r>
    </w:p>
    <w:p>
      <w:pPr>
        <w:spacing w:after="120" w:line="276"/>
      </w:pPr>
      <w:r>
        <w:t xml:space="preserve">During Phase 0 the system ingests the public disclosure log and the council website. Published responses are parsed to extract the recurring blocks above into a reusable house-style library; the website supplies factual grounding for common topics (services, policies, open data). The drafting model is prompted with this template and retrieves real prior answers as worked examples. As the council issues new responses, the library is refreshed so the house style stays current; once internal systems are integrated, the same template is reused with richer grounding.</w:t>
      </w:r>
    </w:p>
    <w:p>
      <w:pPr>
        <w:spacing w:after="120" w:line="276"/>
      </w:pPr>
      <w:r>
        <w:rPr>
          <w:b/>
          <w:bCs/>
        </w:rPr>
        <w:t xml:space="preserve">Caveat: </w:t>
      </w:r>
      <w:r>
        <w:t xml:space="preserve">the council’s disclosure log is delivered through a JavaScript portal (iCasework), so ingestion uses a rendering crawler or, preferably, a data feed agreed with the Information Governance Unit rather than raw scraping. This template should be validated against a sample of live responses before go-live.</w:t>
      </w:r>
    </w:p>
    <w:p>
      <w:pPr>
        <w:pStyle w:val="Heading1"/>
      </w:pPr>
      <w:r>
        <w:t xml:space="preserve">9. Sources</w:t>
      </w:r>
    </w:p>
    <w:p>
      <w:pPr>
        <w:pStyle w:val="ListParagraph"/>
        <w:numPr>
          <w:ilvl w:val="0"/>
          <w:numId w:val="2"/>
        </w:numPr>
        <w:spacing w:after="60" w:line="268"/>
      </w:pPr>
      <w:hyperlink w:history="1" r:id="rIdzpw8j2unvv90x5m8loufx">
        <w:r>
          <w:rPr>
            <w:rStyle w:val="Hyperlink"/>
          </w:rPr>
          <w:t xml:space="preserve">Oxfordshire County Council — Freedom of information requests (guidance, fees, appeals, re-use)</w:t>
        </w:r>
      </w:hyperlink>
    </w:p>
    <w:p>
      <w:pPr>
        <w:pStyle w:val="ListParagraph"/>
        <w:numPr>
          <w:ilvl w:val="0"/>
          <w:numId w:val="2"/>
        </w:numPr>
        <w:spacing w:after="60" w:line="268"/>
      </w:pPr>
      <w:hyperlink w:history="1" r:id="rIdplpxm1qlc0ypekcdceb2v">
        <w:r>
          <w:rPr>
            <w:rStyle w:val="Hyperlink"/>
          </w:rPr>
          <w:t xml:space="preserve">Oxfordshire County Council — FOI disclosure log (iCasework portal)</w:t>
        </w:r>
      </w:hyperlink>
    </w:p>
    <w:p>
      <w:pPr>
        <w:pStyle w:val="ListParagraph"/>
        <w:numPr>
          <w:ilvl w:val="0"/>
          <w:numId w:val="2"/>
        </w:numPr>
        <w:spacing w:after="60" w:line="268"/>
      </w:pPr>
      <w:hyperlink w:history="1" r:id="rId6pg0zzv3fadop7i0f2bso">
        <w:r>
          <w:rPr>
            <w:rStyle w:val="Hyperlink"/>
          </w:rPr>
          <w:t xml:space="preserve">ICO — Time limits for compliance (section 10)</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6"/>
        <w:szCs w:val="16"/>
      </w:rPr>
      <w:t xml:space="preserve">Version 1.0  ·  June 2026  ·  OFFICIAL</w:t>
    </w:r>
    <w:r>
      <w:rPr>
        <w:color w:val="475569"/>
        <w:sz w:val="16"/>
        <w:szCs w:val="16"/>
      </w:rPr>
      <w:t xml:space="preserve">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D57" w:sz="4" w:space="4"/>
      </w:pBdr>
      <w:tabs>
        <w:tab w:val="right" w:pos="9360"/>
      </w:tabs>
    </w:pPr>
    <w:r>
      <w:rPr>
        <w:b/>
        <w:bCs/>
        <w:color w:val="0F3D57"/>
        <w:sz w:val="16"/>
        <w:szCs w:val="16"/>
      </w:rPr>
      <w:t xml:space="preserve">Oxfordshire County Council</w:t>
    </w:r>
    <w:r>
      <w:rPr>
        <w:color w:val="475569"/>
        <w:sz w:val="16"/>
        <w:szCs w:val="16"/>
      </w:rPr>
      <w:t xml:space="preserve">	FOI Response Template &amp; House-Style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F3D57"/>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1D6F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pw8j2unvv90x5m8loufx" Type="http://schemas.openxmlformats.org/officeDocument/2006/relationships/hyperlink" Target="https://www.hertfordshire.gov.uk/about-the-council/freedom-of-information-and-council-data/freedom-of-information-requests/freedom-of-information-requests.aspx" TargetMode="External"/><Relationship Id="rIdplpxm1qlc0ypekcdceb2v" Type="http://schemas.openxmlformats.org/officeDocument/2006/relationships/hyperlink" Target="https://hertfordshireportal.icasework.com/resource?id=855014&amp;db=hertfordshire" TargetMode="External"/><Relationship Id="rId6pg0zzv3fadop7i0f2bso" Type="http://schemas.openxmlformats.org/officeDocument/2006/relationships/hyperlink" Target="https://ico.org.uk/for-organisations/foi/freedom-of-information-and-environmental-information-regulations/time-limits-for-compliance-under-the-freedom-of-information-act-section-10/"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FOI Response Template &amp; House-Style Guide</dc:title>
  <dc:creator>Hertfordshire County Council — Information Governance Unit</dc:creator>
  <cp:lastModifiedBy>Un-named</cp:lastModifiedBy>
  <cp:revision>1</cp:revision>
  <dcterms:created xsi:type="dcterms:W3CDTF">2026-06-01T13:15:39.330Z</dcterms:created>
  <dcterms:modified xsi:type="dcterms:W3CDTF">2026-06-01T13:15:39.331Z</dcterms:modified>
</cp:coreProperties>
</file>

<file path=docProps/custom.xml><?xml version="1.0" encoding="utf-8"?>
<Properties xmlns="http://schemas.openxmlformats.org/officeDocument/2006/custom-properties" xmlns:vt="http://schemas.openxmlformats.org/officeDocument/2006/docPropsVTypes"/>
</file>