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as intervals only (Table 4). </w:t>
      </w:r>
      <w:r>
        <w:rPr>
          <w:b/>
        </w:rPr>
        <w:t>At full budget, 99 % (§8.8).</w:t>
      </w:r>
      <w:r>
        <w:t xml:space="preserve"> No power analysis was registered; the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 The rate is moreover </w:t>
      </w:r>
      <w:r>
        <w:rPr>
          <w:b/>
        </w:rPr>
        <w:t>scale-dependent</w:t>
      </w:r>
      <w:r>
        <w:t xml:space="preserve"> (§8.8): at full 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 files for every column: </w:t>
      </w:r>
      <w:r>
        <w:rPr>
          <w:b/>
        </w:rPr>
        <w:t>Supplementary S12</w:t>
      </w:r>
      <w:r>
        <w:t xml:space="preserve"> (this revision's two batches included).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 xml:space="preserve">; we report only the non-dividing </w:t>
      </w:r>
      <w:r>
        <w:rPr>
          <w:rFonts w:ascii="Consolas" w:hAnsi="Consolas"/>
        </w:rPr>
        <w:t>ΔV(e)</w:t>
      </w:r>
      <w:r>
        <w:t xml:space="preserve"> and </w:t>
      </w:r>
      <w:r>
        <w:rPr>
          <w:rFonts w:ascii="Consolas" w:hAnsi="Consolas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3"/>
      </w:pPr>
      <w:r>
        <w:rPr>
          <w:rFonts w:ascii="Times New Roman" w:hAnsi="Times New Roman"/>
        </w:rP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 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 6,471-image public train split less the 500-image </w:t>
      </w:r>
      <w:r>
        <w:rPr>
          <w:rFonts w:ascii="Consolas" w:hAnsi="Consolas"/>
        </w:rPr>
        <w:t>val</w:t>
      </w:r>
      <w:r>
        <w:t xml:space="preserve"> carve), YOLOv12n </w:t>
      </w:r>
      <w:r>
        <w:rPr>
          <w:b/>
        </w:rPr>
        <w:t>[54]</w:t>
      </w:r>
      <w:r>
        <w:t xml:space="preserve">, 100 epochs, §5.1's two-arm </w:t>
      </w:r>
      <w:r>
        <w:rPr>
          <w:rFonts w:ascii="Consolas" w:hAnsi="Consolas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 xml:space="preserve">. Under the 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 xml:space="preserve">, run-level bootstrap, 20,000 resamples), against the </w:t>
      </w:r>
      <w:r>
        <w:rPr>
          <w:b/>
        </w:rPr>
        <w:t>pre-registered interval [−28 %, +74 %]</w:t>
      </w:r>
      <w:r>
        <w:t xml:space="preserve">; the whole 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  <w:r>
        <w:t xml:space="preserve"> for §8.6's 20 %-train pool, while </w:t>
      </w:r>
      <w:r>
        <w:rPr>
          <w:rFonts w:ascii="Consolas" w:hAnsi="Consolas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</w:t>
      </w:r>
      <w:r>
        <w:rPr>
          <w:b/>
        </w:rPr>
        <w:t>four times smaller</w:t>
      </w:r>
      <w:r>
        <w:t xml:space="preserve">, yet now realised almost exactly. That is what §3.1's decomposition anticipates: the unrealised part is the winner's-curse term </w:t>
      </w:r>
      <w:r>
        <w:rPr>
          <w:rFonts w:ascii="Consolas" w:hAnsi="Consolas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</w:rPr>
        <w:t>val</w:t>
      </w:r>
      <w:r>
        <w:t xml:space="preserve"> split should reduce, and it agrees with Fig. 3's rate-versus-σ̂ correlation — more training data, a smoother </w:t>
      </w:r>
      <w:r>
        <w:rPr>
          <w:rFonts w:ascii="Consolas" w:hAnsi="Consolas"/>
        </w:rPr>
        <w:t>val</w:t>
      </w:r>
      <w:r>
        <w:t xml:space="preserve"> curve, a smaller </w:t>
      </w:r>
      <w:r>
        <w:rPr>
          <w:rFonts w:ascii="Consolas" w:hAnsi="Consolas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  <w:r>
        <w:t xml:space="preserve"> (n = 10: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+0.170 pp</w:t>
      </w:r>
      <w:r>
        <w:t xml:space="preserve">) and </w:t>
      </w:r>
      <w:r>
        <w:rPr>
          <w:b/>
        </w:rPr>
        <w:t>remains inside the pre-registered interval</w:t>
      </w:r>
      <w:r>
        <w:t xml:space="preserve">; the strategy arm realises </w:t>
      </w:r>
      <w:r>
        <w:rPr>
          <w:b/>
        </w:rPr>
        <w:t>+129.0 %</w:t>
      </w:r>
      <w:r>
        <w:t xml:space="preserve"> (n = 10: </w:t>
      </w:r>
      <w:r>
        <w:rPr>
          <w:b/>
        </w:rPr>
        <w:t>+0.282 pp</w:t>
      </w:r>
      <w:r>
        <w:t>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</w:rPr>
        <w:t>prem_val</w:t>
      </w:r>
      <w:r>
        <w:t xml:space="preserve"> or </w:t>
      </w:r>
      <w:r>
        <w:rPr>
          <w:rFonts w:ascii="Consolas" w:hAnsi="Consolas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 under the companion's 20 %-train protocol and already states that the general reading — "the convention realises about a quarter of the </w:t>
      </w:r>
      <w:r>
        <w:rPr>
          <w:rFonts w:ascii="Consolas" w:hAnsi="Consolas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 xml:space="preserve">, the recommendation §11 draws from §8.6 (§11 ②, §13). Two scopes 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</w:rPr>
        <w:t>lr0</w:t>
      </w:r>
      <w:r>
        <w:t xml:space="preserve"> axis; a second corpus with a genuine disjoint </w:t>
      </w:r>
      <w:r>
        <w:rPr>
          <w:rFonts w:ascii="Consolas" w:hAnsi="Consolas"/>
        </w:rPr>
        <w:t>test</w:t>
      </w:r>
      <w:r>
        <w:t xml:space="preserve"> (</w:t>
      </w:r>
      <w:r>
        <w:rPr>
          <w:rFonts w:ascii="Consolas" w:hAnsi="Consolas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r>
        <w:t xml:space="preserve">&gt; </w:t>
      </w:r>
      <w:r>
        <w:rPr>
          <w:b/>
        </w:rPr>
        <w:t>Per-run matrix, protocol, leakage self-check and the bootstrap</w:t>
      </w:r>
      <w:r>
        <w:t xml:space="preserve"> → </w:t>
      </w:r>
      <w:r>
        <w:rPr>
          <w:b/>
        </w:rPr>
        <w:t>Supplementary §S13</w:t>
      </w:r>
      <w:r>
        <w:t xml:space="preserve"> (Tables S46–S47: the per-arm table is S46).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</w:t>
      </w:r>
      <w:r>
        <w:rPr>
          <w:b/>
        </w:rPr>
        <w:t>The cost of not doing so is scale-dependent</w:t>
      </w:r>
      <w:r>
        <w:t xml:space="preserve">: at 20 % train the selection action realises about a quarter of the </w:t>
      </w:r>
      <w:r>
        <w:rPr>
          <w:rFonts w:ascii="Consolas" w:hAnsi="Consolas"/>
        </w:rPr>
        <w:t>val</w:t>
      </w:r>
      <w:r>
        <w:t xml:space="preserve"> premium on a disjoint split, but at full budget it realises </w:t>
      </w:r>
      <w:r>
        <w:rPr>
          <w:b/>
        </w:rPr>
        <w:t>+99.2 %</w:t>
      </w:r>
      <w:r>
        <w:t xml:space="preserve"> (§8.8) — the practice is </w:t>
      </w:r>
      <w:r>
        <w:rPr>
          <w:b/>
        </w:rPr>
        <w:t>most damaging exactly where data is scarcest</w:t>
      </w:r>
      <w:r>
        <w:t xml:space="preserve">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 </w:t>
      </w:r>
      <w:r>
        <w:rPr>
          <w:b/>
        </w:rPr>
        <w:t>and not general across corpora — extending the same test to eight further arm-cells reverses it (Supplementary S11, Measurement 3)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they carry </w:t>
      </w:r>
      <w:r>
        <w:rPr>
          <w:b/>
        </w:rPr>
        <w:t>no sampling interval, deliberately</w:t>
      </w:r>
      <w:r>
        <w:t xml:space="preserve"> — the grading enters the </w:t>
      </w:r>
      <w:r>
        <w:rPr>
          <w:b/>
        </w:rPr>
        <w:t>count</w:t>
      </w:r>
      <w:r>
        <w:t xml:space="preserve"> itself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r>
        <w:t xml:space="preserve">- The </w:t>
      </w:r>
      <w:r>
        <w:rPr>
          <w:b/>
        </w:rPr>
        <w:t>scale-dependence</w:t>
      </w:r>
      <w:r>
        <w:t xml:space="preserve"> reading (§8.8) is </w:t>
      </w:r>
      <w:r>
        <w:rPr>
          <w:b/>
        </w:rPr>
        <w:t>one corpus, one detector, the same `lr0` axis as §5.1</w:t>
      </w:r>
      <w:r>
        <w:t xml:space="preserve"> (20 runs, ten file orders per arm); it does </w:t>
      </w:r>
      <w:r>
        <w:rPr>
          <w:b/>
        </w:rPr>
        <w:t>not</w:t>
      </w:r>
      <w:r>
        <w:t xml:space="preserve"> re-open §8.6's pool, and </w:t>
      </w:r>
      <w:r>
        <w:rPr>
          <w:b/>
        </w:rPr>
        <w:t>no interval of §8.6's folds into it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