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Δgap</w:t>
            </w:r>
          </w:p>
        </w:tc>
        <w:tc>
          <w:tcPr>
            <w:tcW w:type="dxa" w:w="1077"/>
          </w:tcPr>
          <w:p>
            <w:pPr>
              <w:spacing w:line="240" w:lineRule="auto"/>
            </w:pPr>
            <w:r>
              <w:rPr>
                <w:sz w:val="20"/>
              </w:rPr>
              <w:t>final-epoch val diff</w:t>
            </w:r>
          </w:p>
        </w:tc>
        <w:tc>
          <w:tcPr>
            <w:tcW w:type="dxa" w:w="1077"/>
          </w:tcPr>
          <w:p>
            <w:pPr>
              <w:spacing w:line="240" w:lineRule="auto"/>
            </w:pPr>
            <w:r>
              <w:rPr>
                <w:sz w:val="20"/>
              </w:rPr>
              <w:t>Δprem</w:t>
            </w:r>
          </w:p>
        </w:tc>
        <w:tc>
          <w:tcPr>
            <w:tcW w:type="dxa" w:w="1077"/>
          </w:tcPr>
          <w:p>
            <w:pPr>
              <w:spacing w:line="240" w:lineRule="auto"/>
            </w:pPr>
            <w:r>
              <w:rPr>
                <w:sz w:val="20"/>
              </w:rPr>
              <w:t>−test diff</w:t>
            </w:r>
          </w:p>
        </w:tc>
        <w:tc>
          <w:tcPr>
            <w:tcW w:type="dxa" w:w="1077"/>
          </w:tcPr>
          <w:p>
            <w:pPr>
              <w:spacing w:line="240" w:lineRule="auto"/>
            </w:pPr>
            <w:r>
              <w:rPr>
                <w:sz w:val="20"/>
              </w:rPr>
              <w:t>Dominant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**mask20**</w:t>
            </w:r>
          </w:p>
        </w:tc>
        <w:tc>
          <w:tcPr>
            <w:tcW w:type="dxa" w:w="1077"/>
          </w:tcPr>
          <w:p>
            <w:pPr>
              <w:spacing w:line="240" w:lineRule="auto"/>
            </w:pPr>
            <w:r>
              <w:rPr>
                <w:sz w:val="20"/>
              </w:rPr>
              <w:t>**+1.75**</w:t>
            </w:r>
          </w:p>
        </w:tc>
        <w:tc>
          <w:tcPr>
            <w:tcW w:type="dxa" w:w="1077"/>
          </w:tcPr>
          <w:p>
            <w:pPr>
              <w:spacing w:line="240" w:lineRule="auto"/>
            </w:pPr>
            <w:r>
              <w:rPr>
                <w:sz w:val="20"/>
              </w:rPr>
              <w:t>**+15.78**</w:t>
            </w:r>
          </w:p>
        </w:tc>
        <w:tc>
          <w:tcPr>
            <w:tcW w:type="dxa" w:w="1077"/>
          </w:tcPr>
          <w:p>
            <w:pPr>
              <w:spacing w:line="240" w:lineRule="auto"/>
            </w:pPr>
            <w:r>
              <w:rPr>
                <w:sz w:val="20"/>
              </w:rPr>
              <w:t>**−13.10**</w:t>
            </w:r>
          </w:p>
        </w:tc>
        <w:tc>
          <w:tcPr>
            <w:tcW w:type="dxa" w:w="1077"/>
          </w:tcPr>
          <w:p>
            <w:pPr>
              <w:spacing w:line="240" w:lineRule="auto"/>
            </w:pPr>
            <w:r>
              <w:rPr>
                <w:sz w:val="20"/>
              </w:rPr>
              <w:t>−0.93</w:t>
            </w:r>
          </w:p>
        </w:tc>
        <w:tc>
          <w:tcPr>
            <w:tcW w:type="dxa" w:w="1077"/>
          </w:tcPr>
          <w:p>
            <w:pPr>
              <w:spacing w:line="240" w:lineRule="auto"/>
            </w:pPr>
            <w:r>
              <w:rPr>
                <w:sz w:val="20"/>
              </w:rPr>
              <w:t>the two large components **nearly cancel**</w:t>
            </w:r>
          </w:p>
        </w:tc>
      </w:tr>
      <w:tr>
        <w:tc>
          <w:tcPr>
            <w:tcW w:type="dxa" w:w="1077"/>
          </w:tcPr>
          <w:p>
            <w:pPr>
              <w:spacing w:line="240" w:lineRule="auto"/>
            </w:pPr>
            <w:r>
              <w:rPr>
                <w:sz w:val="20"/>
              </w:rPr>
              <w:t>fire</w:t>
            </w:r>
          </w:p>
        </w:tc>
        <w:tc>
          <w:tcPr>
            <w:tcW w:type="dxa" w:w="1077"/>
          </w:tcPr>
          <w:p>
            <w:pPr>
              <w:spacing w:line="240" w:lineRule="auto"/>
            </w:pPr>
            <w:r>
              <w:rPr>
                <w:sz w:val="20"/>
              </w:rPr>
              <w:t>**+13.66**</w:t>
            </w:r>
          </w:p>
        </w:tc>
        <w:tc>
          <w:tcPr>
            <w:tcW w:type="dxa" w:w="1077"/>
          </w:tcPr>
          <w:p>
            <w:pPr>
              <w:spacing w:line="240" w:lineRule="auto"/>
            </w:pPr>
            <w:r>
              <w:rPr>
                <w:sz w:val="20"/>
              </w:rPr>
              <w:t>+15.96</w:t>
            </w:r>
          </w:p>
        </w:tc>
        <w:tc>
          <w:tcPr>
            <w:tcW w:type="dxa" w:w="1077"/>
          </w:tcPr>
          <w:p>
            <w:pPr>
              <w:spacing w:line="240" w:lineRule="auto"/>
            </w:pPr>
            <w:r>
              <w:rPr>
                <w:sz w:val="20"/>
              </w:rPr>
              <w:t>+2.08</w:t>
            </w:r>
          </w:p>
        </w:tc>
        <w:tc>
          <w:tcPr>
            <w:tcW w:type="dxa" w:w="1077"/>
          </w:tcPr>
          <w:p>
            <w:pPr>
              <w:spacing w:line="240" w:lineRule="auto"/>
            </w:pPr>
            <w:r>
              <w:rPr>
                <w:sz w:val="20"/>
              </w:rPr>
              <w:t>−4.39</w:t>
            </w:r>
          </w:p>
        </w:tc>
        <w:tc>
          <w:tcPr>
            <w:tcW w:type="dxa" w:w="1077"/>
          </w:tcPr>
          <w:p>
            <w:pPr>
              <w:spacing w:line="240" w:lineRule="auto"/>
            </w:pPr>
            <w:r>
              <w:rPr>
                <w:sz w:val="20"/>
              </w:rPr>
              <w:t>final-epoch val diff</w:t>
            </w:r>
          </w:p>
        </w:tc>
      </w:tr>
      <w:tr>
        <w:tc>
          <w:tcPr>
            <w:tcW w:type="dxa" w:w="1077"/>
          </w:tcPr>
          <w:p>
            <w:pPr>
              <w:spacing w:line="240" w:lineRule="auto"/>
            </w:pPr>
            <w:r>
              <w:rPr>
                <w:sz w:val="20"/>
              </w:rPr>
              <w:t>p_vistod15</w:t>
            </w:r>
          </w:p>
        </w:tc>
        <w:tc>
          <w:tcPr>
            <w:tcW w:type="dxa" w:w="1077"/>
          </w:tcPr>
          <w:p>
            <w:pPr>
              <w:spacing w:line="240" w:lineRule="auto"/>
            </w:pPr>
            <w:r>
              <w:rPr>
                <w:sz w:val="20"/>
              </w:rPr>
              <w:t>**−3.315**</w:t>
            </w:r>
          </w:p>
        </w:tc>
        <w:tc>
          <w:tcPr>
            <w:tcW w:type="dxa" w:w="1077"/>
          </w:tcPr>
          <w:p>
            <w:pPr>
              <w:spacing w:line="240" w:lineRule="auto"/>
            </w:pPr>
            <w:r>
              <w:rPr>
                <w:sz w:val="20"/>
              </w:rPr>
              <w:t>−7.072</w:t>
            </w:r>
          </w:p>
        </w:tc>
        <w:tc>
          <w:tcPr>
            <w:tcW w:type="dxa" w:w="1077"/>
          </w:tcPr>
          <w:p>
            <w:pPr>
              <w:spacing w:line="240" w:lineRule="auto"/>
            </w:pPr>
            <w:r>
              <w:rPr>
                <w:sz w:val="20"/>
              </w:rPr>
              <w:t>−0.213</w:t>
            </w:r>
          </w:p>
        </w:tc>
        <w:tc>
          <w:tcPr>
            <w:tcW w:type="dxa" w:w="1077"/>
          </w:tcPr>
          <w:p>
            <w:pPr>
              <w:spacing w:line="240" w:lineRule="auto"/>
            </w:pPr>
            <w:r>
              <w:rPr>
                <w:sz w:val="20"/>
              </w:rPr>
              <w:t>+3.971</w:t>
            </w:r>
          </w:p>
        </w:tc>
        <w:tc>
          <w:tcPr>
            <w:tcW w:type="dxa" w:w="1077"/>
          </w:tcPr>
          <w:p>
            <w:pPr>
              <w:spacing w:line="240" w:lineRule="auto"/>
            </w:pPr>
            <w:r>
              <w:rPr>
                <w:sz w:val="20"/>
              </w:rPr>
              <w:t>final-epoch val diff</w:t>
            </w:r>
          </w:p>
        </w:tc>
      </w:tr>
      <w:tr>
        <w:tc>
          <w:tcPr>
            <w:tcW w:type="dxa" w:w="1077"/>
          </w:tcPr>
          <w:p>
            <w:pPr>
              <w:spacing w:line="240" w:lineRule="auto"/>
            </w:pPr>
            <w:r>
              <w:rPr>
                <w:sz w:val="20"/>
              </w:rPr>
              <w:t>p_aitovis</w:t>
            </w:r>
          </w:p>
        </w:tc>
        <w:tc>
          <w:tcPr>
            <w:tcW w:type="dxa" w:w="1077"/>
          </w:tcPr>
          <w:p>
            <w:pPr>
              <w:spacing w:line="240" w:lineRule="auto"/>
            </w:pPr>
            <w:r>
              <w:rPr>
                <w:sz w:val="20"/>
              </w:rPr>
              <w:t>**−1.226**</w:t>
            </w:r>
          </w:p>
        </w:tc>
        <w:tc>
          <w:tcPr>
            <w:tcW w:type="dxa" w:w="1077"/>
          </w:tcPr>
          <w:p>
            <w:pPr>
              <w:spacing w:line="240" w:lineRule="auto"/>
            </w:pPr>
            <w:r>
              <w:rPr>
                <w:sz w:val="20"/>
              </w:rPr>
              <w:t>−1.583</w:t>
            </w:r>
          </w:p>
        </w:tc>
        <w:tc>
          <w:tcPr>
            <w:tcW w:type="dxa" w:w="1077"/>
          </w:tcPr>
          <w:p>
            <w:pPr>
              <w:spacing w:line="240" w:lineRule="auto"/>
            </w:pPr>
            <w:r>
              <w:rPr>
                <w:sz w:val="20"/>
              </w:rPr>
              <w:t>+0.090</w:t>
            </w:r>
          </w:p>
        </w:tc>
        <w:tc>
          <w:tcPr>
            <w:tcW w:type="dxa" w:w="1077"/>
          </w:tcPr>
          <w:p>
            <w:pPr>
              <w:spacing w:line="240" w:lineRule="auto"/>
            </w:pPr>
            <w:r>
              <w:rPr>
                <w:sz w:val="20"/>
              </w:rPr>
              <w:t>+0.267</w:t>
            </w:r>
          </w:p>
        </w:tc>
        <w:tc>
          <w:tcPr>
            <w:tcW w:type="dxa" w:w="1077"/>
          </w:tcPr>
          <w:p>
            <w:pPr>
              <w:spacing w:line="240" w:lineRule="auto"/>
            </w:pPr>
            <w:r>
              <w:rPr>
                <w:sz w:val="20"/>
              </w:rPr>
              <w:t>final-epoch val diff</w:t>
            </w:r>
          </w:p>
        </w:tc>
      </w:tr>
      <w:tr>
        <w:tc>
          <w:tcPr>
            <w:tcW w:type="dxa" w:w="1077"/>
          </w:tcPr>
          <w:p>
            <w:pPr>
              <w:spacing w:line="240" w:lineRule="auto"/>
            </w:pPr>
            <w:r>
              <w:rPr>
                <w:sz w:val="20"/>
              </w:rPr>
              <w:t>shwd2sf</w:t>
            </w:r>
          </w:p>
        </w:tc>
        <w:tc>
          <w:tcPr>
            <w:tcW w:type="dxa" w:w="1077"/>
          </w:tcPr>
          <w:p>
            <w:pPr>
              <w:spacing w:line="240" w:lineRule="auto"/>
            </w:pPr>
            <w:r>
              <w:rPr>
                <w:sz w:val="20"/>
              </w:rPr>
              <w:t>**+0.78**</w:t>
            </w:r>
          </w:p>
        </w:tc>
        <w:tc>
          <w:tcPr>
            <w:tcW w:type="dxa" w:w="1077"/>
          </w:tcPr>
          <w:p>
            <w:pPr>
              <w:spacing w:line="240" w:lineRule="auto"/>
            </w:pPr>
            <w:r>
              <w:rPr>
                <w:sz w:val="20"/>
              </w:rPr>
              <w:t>−0.33</w:t>
            </w:r>
          </w:p>
        </w:tc>
        <w:tc>
          <w:tcPr>
            <w:tcW w:type="dxa" w:w="1077"/>
          </w:tcPr>
          <w:p>
            <w:pPr>
              <w:spacing w:line="240" w:lineRule="auto"/>
            </w:pPr>
            <w:r>
              <w:rPr>
                <w:sz w:val="20"/>
              </w:rPr>
              <w:t>+0.60</w:t>
            </w:r>
          </w:p>
        </w:tc>
        <w:tc>
          <w:tcPr>
            <w:tcW w:type="dxa" w:w="1077"/>
          </w:tcPr>
          <w:p>
            <w:pPr>
              <w:spacing w:line="240" w:lineRule="auto"/>
            </w:pPr>
            <w:r>
              <w:rPr>
                <w:sz w:val="20"/>
              </w:rPr>
              <w:t>+0.51</w:t>
            </w:r>
          </w:p>
        </w:tc>
        <w:tc>
          <w:tcPr>
            <w:tcW w:type="dxa" w:w="1077"/>
          </w:tcPr>
          <w:p>
            <w:pPr>
              <w:spacing w:line="240" w:lineRule="auto"/>
            </w:pPr>
            <w:r>
              <w:rPr>
                <w:sz w:val="20"/>
              </w:rPr>
              <w:t>Δprem</w:t>
            </w:r>
          </w:p>
        </w:tc>
      </w:tr>
      <w:tr>
        <w:tc>
          <w:tcPr>
            <w:tcW w:type="dxa" w:w="1077"/>
          </w:tcPr>
          <w:p>
            <w:pPr>
              <w:spacing w:line="240" w:lineRule="auto"/>
            </w:pPr>
            <w:r>
              <w:rPr>
                <w:sz w:val="20"/>
              </w:rPr>
              <w:t>smoke2sf</w:t>
            </w:r>
          </w:p>
        </w:tc>
        <w:tc>
          <w:tcPr>
            <w:tcW w:type="dxa" w:w="1077"/>
          </w:tcPr>
          <w:p>
            <w:pPr>
              <w:spacing w:line="240" w:lineRule="auto"/>
            </w:pPr>
            <w:r>
              <w:rPr>
                <w:sz w:val="20"/>
              </w:rPr>
              <w:t>**+0.46**</w:t>
            </w:r>
          </w:p>
        </w:tc>
        <w:tc>
          <w:tcPr>
            <w:tcW w:type="dxa" w:w="1077"/>
          </w:tcPr>
          <w:p>
            <w:pPr>
              <w:spacing w:line="240" w:lineRule="auto"/>
            </w:pPr>
            <w:r>
              <w:rPr>
                <w:sz w:val="20"/>
              </w:rPr>
              <w:t>−1.06</w:t>
            </w:r>
          </w:p>
        </w:tc>
        <w:tc>
          <w:tcPr>
            <w:tcW w:type="dxa" w:w="1077"/>
          </w:tcPr>
          <w:p>
            <w:pPr>
              <w:spacing w:line="240" w:lineRule="auto"/>
            </w:pPr>
            <w:r>
              <w:rPr>
                <w:sz w:val="20"/>
              </w:rPr>
              <w:t>+0.09</w:t>
            </w:r>
          </w:p>
        </w:tc>
        <w:tc>
          <w:tcPr>
            <w:tcW w:type="dxa" w:w="1077"/>
          </w:tcPr>
          <w:p>
            <w:pPr>
              <w:spacing w:line="240" w:lineRule="auto"/>
            </w:pPr>
            <w:r>
              <w:rPr>
                <w:sz w:val="20"/>
              </w:rPr>
              <w:t>+1.43</w:t>
            </w:r>
          </w:p>
        </w:tc>
        <w:tc>
          <w:tcPr>
            <w:tcW w:type="dxa" w:w="1077"/>
          </w:tcPr>
          <w:p>
            <w:pPr>
              <w:spacing w:line="240" w:lineRule="auto"/>
            </w:pPr>
            <w:r>
              <w:rPr>
                <w:sz w:val="20"/>
              </w:rPr>
              <w:t>−test diff</w:t>
            </w:r>
          </w:p>
        </w:tc>
      </w:tr>
      <w:tr>
        <w:tc>
          <w:tcPr>
            <w:tcW w:type="dxa" w:w="1077"/>
          </w:tcPr>
          <w:p>
            <w:pPr>
              <w:spacing w:line="240" w:lineRule="auto"/>
            </w:pPr>
            <w:r>
              <w:rPr>
                <w:sz w:val="20"/>
              </w:rPr>
              <w:t>dota</w:t>
            </w:r>
          </w:p>
        </w:tc>
        <w:tc>
          <w:tcPr>
            <w:tcW w:type="dxa" w:w="1077"/>
          </w:tcPr>
          <w:p>
            <w:pPr>
              <w:spacing w:line="240" w:lineRule="auto"/>
            </w:pPr>
            <w:r>
              <w:rPr>
                <w:sz w:val="20"/>
              </w:rPr>
              <w:t>**+0.35**</w:t>
            </w:r>
          </w:p>
        </w:tc>
        <w:tc>
          <w:tcPr>
            <w:tcW w:type="dxa" w:w="1077"/>
          </w:tcPr>
          <w:p>
            <w:pPr>
              <w:spacing w:line="240" w:lineRule="auto"/>
            </w:pPr>
            <w:r>
              <w:rPr>
                <w:sz w:val="20"/>
              </w:rPr>
              <w:t>+0.75</w:t>
            </w:r>
          </w:p>
        </w:tc>
        <w:tc>
          <w:tcPr>
            <w:tcW w:type="dxa" w:w="1077"/>
          </w:tcPr>
          <w:p>
            <w:pPr>
              <w:spacing w:line="240" w:lineRule="auto"/>
            </w:pPr>
            <w:r>
              <w:rPr>
                <w:sz w:val="20"/>
              </w:rPr>
              <w:t>+0.54</w:t>
            </w:r>
          </w:p>
        </w:tc>
        <w:tc>
          <w:tcPr>
            <w:tcW w:type="dxa" w:w="1077"/>
          </w:tcPr>
          <w:p>
            <w:pPr>
              <w:spacing w:line="240" w:lineRule="auto"/>
            </w:pPr>
            <w:r>
              <w:rPr>
                <w:sz w:val="20"/>
              </w:rPr>
              <w:t>−0.93</w:t>
            </w:r>
          </w:p>
        </w:tc>
        <w:tc>
          <w:tcPr>
            <w:tcW w:type="dxa" w:w="1077"/>
          </w:tcPr>
          <w:p>
            <w:pPr>
              <w:spacing w:line="240" w:lineRule="auto"/>
            </w:pPr>
            <w:r>
              <w:rPr>
                <w:sz w:val="20"/>
              </w:rPr>
              <w:t>−test diff</w:t>
            </w:r>
          </w:p>
        </w:tc>
      </w:tr>
    </w:tbl>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40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17.5 %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On </w:t>
      </w:r>
      <w:r>
        <w:rPr>
          <w:b/>
        </w:rPr>
        <w:t>both</w:t>
      </w:r>
      <w:r>
        <w:t xml:space="preserve"> corpora the sign pattern of S34/S34c reappears: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(Table S10 prints seven of them; the other six cells' components are in </w:t>
      </w:r>
      <w:r>
        <w:rPr>
          <w:rFonts w:ascii="Consolas" w:hAnsi="Consolas"/>
        </w:rPr>
        <w:t>work/gap_mechanism_20260916.txt</w:t>
      </w:r>
      <w:r>
        <w:t>)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w:t>
      </w:r>
      <w:r>
        <w:t xml:space="preserve"> family is this 13-cell scan, and BH at q = 0.05 is applied to it (with </w:t>
      </w:r>
      <w:r>
        <w:rPr>
          <w:b/>
        </w:rPr>
        <w:t>Holm across the two targets</w:t>
      </w:r>
      <w:r>
        <w:t xml:space="preserve"> of the escalation plan);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(seven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