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r>
              <w:rPr>
                <w:b/>
                <w:sz w:val="18"/>
              </w:rPr>
              <w:t xml:space="preserve"> (argmax)</w:t>
            </w:r>
          </w:p>
        </w:tc>
        <w:tc>
          <w:tcPr>
            <w:tcW w:type="dxa" w:w="1080"/>
          </w:tcPr>
          <w:p>
            <w:r>
              <w:rPr>
                <w:rFonts w:ascii="Consolas" w:hAnsi="Consolas"/>
                <w:b/>
                <w:sz w:val="18"/>
              </w:rPr>
              <w:t>prem_val</w:t>
            </w:r>
            <w:r>
              <w:rPr>
                <w:b/>
                <w:sz w:val="18"/>
              </w:rPr>
              <w:t xml:space="preserve"> (</w:t>
            </w:r>
            <w:r>
              <w:rPr>
                <w:rFonts w:ascii="Consolas" w:hAnsi="Consolas"/>
                <w:b/>
                <w:sz w:val="18"/>
              </w:rPr>
              <w:t>e*</w:t>
            </w:r>
            <w:r>
              <w:rPr>
                <w:b/>
                <w:sz w:val="18"/>
              </w:rPr>
              <w:t>)</w:t>
            </w:r>
          </w:p>
        </w:tc>
        <w:tc>
          <w:tcPr>
            <w:tcW w:type="dxa" w:w="1080"/>
          </w:tcPr>
          <w:p>
            <w:r>
              <w:rPr>
                <w:rFonts w:ascii="Consolas" w:hAnsi="Consolas"/>
                <w:b/>
                <w:sz w:val="18"/>
              </w:rPr>
              <w:t>prem_test</w:t>
            </w:r>
          </w:p>
        </w:tc>
        <w:tc>
          <w:tcPr>
            <w:tcW w:type="dxa" w:w="1080"/>
          </w:tcPr>
          <w:p>
            <w:r>
              <w:rPr>
                <w:b/>
                <w:sz w:val="18"/>
              </w:rPr>
              <w:t>rate (argmax)</w:t>
            </w:r>
          </w:p>
        </w:tc>
        <w:tc>
          <w:tcPr>
            <w:tcW w:type="dxa" w:w="1080"/>
          </w:tcPr>
          <w:p>
            <w:r>
              <w:rPr>
                <w:b/>
                <w:sz w:val="18"/>
              </w:rPr>
              <w:t>rate (</w:t>
            </w:r>
            <w:r>
              <w:rPr>
                <w:rFonts w:ascii="Consolas" w:hAnsi="Consolas"/>
                <w:b/>
                <w:sz w:val="18"/>
              </w:rPr>
              <w:t>e*</w:t>
            </w:r>
            <w:r>
              <w:rPr>
                <w:b/>
                <w:sz w:val="18"/>
              </w:rPr>
              <w: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shwd2sf</w:t>
            </w:r>
          </w:p>
        </w:tc>
        <w:tc>
          <w:tcPr>
            <w:tcW w:type="dxa" w:w="1080"/>
          </w:tcPr>
          <w:p>
            <w:r>
              <w:rPr>
                <w:sz w:val="18"/>
              </w:rPr>
              <w:t>baseline</w:t>
            </w:r>
          </w:p>
        </w:tc>
        <w:tc>
          <w:tcPr>
            <w:tcW w:type="dxa" w:w="1080"/>
          </w:tcPr>
          <w:p>
            <w:r>
              <w:rPr>
                <w:sz w:val="18"/>
              </w:rPr>
              <w:t>10</w:t>
            </w:r>
          </w:p>
        </w:tc>
        <w:tc>
          <w:tcPr>
            <w:tcW w:type="dxa" w:w="1080"/>
          </w:tcPr>
          <w:p>
            <w:r>
              <w:rPr>
                <w:sz w:val="18"/>
              </w:rPr>
              <w:t>1.469</w:t>
            </w:r>
          </w:p>
        </w:tc>
        <w:tc>
          <w:tcPr>
            <w:tcW w:type="dxa" w:w="1080"/>
          </w:tcPr>
          <w:p>
            <w:r>
              <w:rPr>
                <w:sz w:val="18"/>
              </w:rPr>
              <w:t>1.469</w:t>
            </w:r>
          </w:p>
        </w:tc>
        <w:tc>
          <w:tcPr>
            <w:tcW w:type="dxa" w:w="1080"/>
          </w:tcPr>
          <w:p>
            <w:r>
              <w:rPr>
                <w:sz w:val="18"/>
              </w:rPr>
              <w:t>+0.736</w:t>
            </w:r>
          </w:p>
        </w:tc>
        <w:tc>
          <w:tcPr>
            <w:tcW w:type="dxa" w:w="1080"/>
          </w:tcPr>
          <w:p>
            <w:r>
              <w:rPr>
                <w:sz w:val="18"/>
              </w:rPr>
              <w:t>+50.11 %</w:t>
            </w:r>
          </w:p>
        </w:tc>
        <w:tc>
          <w:tcPr>
            <w:tcW w:type="dxa" w:w="1080"/>
          </w:tcPr>
          <w:p>
            <w:r>
              <w:rPr>
                <w:sz w:val="18"/>
              </w:rPr>
              <w:t>+50.11 %</w:t>
            </w:r>
          </w:p>
        </w:tc>
      </w:tr>
      <w:tr>
        <w:tc>
          <w:tcPr>
            <w:tcW w:type="dxa" w:w="1080"/>
          </w:tcPr>
          <w:p>
            <w:r>
              <w:rPr>
                <w:sz w:val="18"/>
              </w:rPr>
              <w:t>shwd2sf</w:t>
            </w:r>
          </w:p>
        </w:tc>
        <w:tc>
          <w:tcPr>
            <w:tcW w:type="dxa" w:w="1080"/>
          </w:tcPr>
          <w:p>
            <w:r>
              <w:rPr>
                <w:sz w:val="18"/>
              </w:rPr>
              <w:t>strategy</w:t>
            </w:r>
          </w:p>
        </w:tc>
        <w:tc>
          <w:tcPr>
            <w:tcW w:type="dxa" w:w="1080"/>
          </w:tcPr>
          <w:p>
            <w:r>
              <w:rPr>
                <w:sz w:val="18"/>
              </w:rPr>
              <w:t>10</w:t>
            </w:r>
          </w:p>
        </w:tc>
        <w:tc>
          <w:tcPr>
            <w:tcW w:type="dxa" w:w="1080"/>
          </w:tcPr>
          <w:p>
            <w:r>
              <w:rPr>
                <w:sz w:val="18"/>
              </w:rPr>
              <w:t>0.865</w:t>
            </w:r>
          </w:p>
        </w:tc>
        <w:tc>
          <w:tcPr>
            <w:tcW w:type="dxa" w:w="1080"/>
          </w:tcPr>
          <w:p>
            <w:r>
              <w:rPr>
                <w:sz w:val="18"/>
              </w:rPr>
              <w:t>0.857</w:t>
            </w:r>
          </w:p>
        </w:tc>
        <w:tc>
          <w:tcPr>
            <w:tcW w:type="dxa" w:w="1080"/>
          </w:tcPr>
          <w:p>
            <w:r>
              <w:rPr>
                <w:sz w:val="18"/>
              </w:rPr>
              <w:t>+0.152</w:t>
            </w:r>
          </w:p>
        </w:tc>
        <w:tc>
          <w:tcPr>
            <w:tcW w:type="dxa" w:w="1080"/>
          </w:tcPr>
          <w:p>
            <w:r>
              <w:rPr>
                <w:sz w:val="18"/>
              </w:rPr>
              <w:t>+17.57 %</w:t>
            </w:r>
          </w:p>
        </w:tc>
        <w:tc>
          <w:tcPr>
            <w:tcW w:type="dxa" w:w="1080"/>
          </w:tcPr>
          <w:p>
            <w:r>
              <w:rPr>
                <w:sz w:val="18"/>
              </w:rPr>
              <w:t>+17.73 %</w:t>
            </w:r>
          </w:p>
        </w:tc>
      </w:tr>
      <w:tr>
        <w:tc>
          <w:tcPr>
            <w:tcW w:type="dxa" w:w="1080"/>
          </w:tcPr>
          <w:p>
            <w:r>
              <w:rPr>
                <w:sz w:val="18"/>
              </w:rPr>
              <w:t>smoke2sf</w:t>
            </w:r>
          </w:p>
        </w:tc>
        <w:tc>
          <w:tcPr>
            <w:tcW w:type="dxa" w:w="1080"/>
          </w:tcPr>
          <w:p>
            <w:r>
              <w:rPr>
                <w:sz w:val="18"/>
              </w:rPr>
              <w:t>baseline</w:t>
            </w:r>
          </w:p>
        </w:tc>
        <w:tc>
          <w:tcPr>
            <w:tcW w:type="dxa" w:w="1080"/>
          </w:tcPr>
          <w:p>
            <w:r>
              <w:rPr>
                <w:sz w:val="18"/>
              </w:rPr>
              <w:t>10</w:t>
            </w:r>
          </w:p>
        </w:tc>
        <w:tc>
          <w:tcPr>
            <w:tcW w:type="dxa" w:w="1080"/>
          </w:tcPr>
          <w:p>
            <w:r>
              <w:rPr>
                <w:sz w:val="18"/>
              </w:rPr>
              <w:t>0.691</w:t>
            </w:r>
          </w:p>
        </w:tc>
        <w:tc>
          <w:tcPr>
            <w:tcW w:type="dxa" w:w="1080"/>
          </w:tcPr>
          <w:p>
            <w:r>
              <w:rPr>
                <w:sz w:val="18"/>
              </w:rPr>
              <w:t>0.684</w:t>
            </w:r>
          </w:p>
        </w:tc>
        <w:tc>
          <w:tcPr>
            <w:tcW w:type="dxa" w:w="1080"/>
          </w:tcPr>
          <w:p>
            <w:r>
              <w:rPr>
                <w:sz w:val="18"/>
              </w:rPr>
              <w:t>+0.509</w:t>
            </w:r>
          </w:p>
        </w:tc>
        <w:tc>
          <w:tcPr>
            <w:tcW w:type="dxa" w:w="1080"/>
          </w:tcPr>
          <w:p>
            <w:r>
              <w:rPr>
                <w:sz w:val="18"/>
              </w:rPr>
              <w:t>+73.69 %</w:t>
            </w:r>
          </w:p>
        </w:tc>
        <w:tc>
          <w:tcPr>
            <w:tcW w:type="dxa" w:w="1080"/>
          </w:tcPr>
          <w:p>
            <w:r>
              <w:rPr>
                <w:sz w:val="18"/>
              </w:rPr>
              <w:t>+74.36 %</w:t>
            </w:r>
          </w:p>
        </w:tc>
      </w:tr>
      <w:tr>
        <w:tc>
          <w:tcPr>
            <w:tcW w:type="dxa" w:w="1080"/>
          </w:tcPr>
          <w:p>
            <w:r>
              <w:rPr>
                <w:sz w:val="18"/>
              </w:rPr>
              <w:t>smoke2sf</w:t>
            </w:r>
          </w:p>
        </w:tc>
        <w:tc>
          <w:tcPr>
            <w:tcW w:type="dxa" w:w="1080"/>
          </w:tcPr>
          <w:p>
            <w:r>
              <w:rPr>
                <w:sz w:val="18"/>
              </w:rPr>
              <w:t>strategy</w:t>
            </w:r>
          </w:p>
        </w:tc>
        <w:tc>
          <w:tcPr>
            <w:tcW w:type="dxa" w:w="1080"/>
          </w:tcPr>
          <w:p>
            <w:r>
              <w:rPr>
                <w:sz w:val="18"/>
              </w:rPr>
              <w:t>10</w:t>
            </w:r>
          </w:p>
        </w:tc>
        <w:tc>
          <w:tcPr>
            <w:tcW w:type="dxa" w:w="1080"/>
          </w:tcPr>
          <w:p>
            <w:r>
              <w:rPr>
                <w:sz w:val="18"/>
              </w:rPr>
              <w:t>0.605</w:t>
            </w:r>
          </w:p>
        </w:tc>
        <w:tc>
          <w:tcPr>
            <w:tcW w:type="dxa" w:w="1080"/>
          </w:tcPr>
          <w:p>
            <w:r>
              <w:rPr>
                <w:sz w:val="18"/>
              </w:rPr>
              <w:t>0.605</w:t>
            </w:r>
          </w:p>
        </w:tc>
        <w:tc>
          <w:tcPr>
            <w:tcW w:type="dxa" w:w="1080"/>
          </w:tcPr>
          <w:p>
            <w:r>
              <w:rPr>
                <w:sz w:val="18"/>
              </w:rPr>
              <w:t>−0.157</w:t>
            </w:r>
          </w:p>
        </w:tc>
        <w:tc>
          <w:tcPr>
            <w:tcW w:type="dxa" w:w="1080"/>
          </w:tcPr>
          <w:p>
            <w:r>
              <w:rPr>
                <w:sz w:val="18"/>
              </w:rPr>
              <w:t>−25.96 %</w:t>
            </w:r>
          </w:p>
        </w:tc>
        <w:tc>
          <w:tcPr>
            <w:tcW w:type="dxa" w:w="1080"/>
          </w:tcPr>
          <w:p>
            <w:r>
              <w:rPr>
                <w:sz w:val="18"/>
              </w:rPr>
              <w:t>−25.96 %</w:t>
            </w:r>
          </w:p>
        </w:tc>
      </w:tr>
      <w:tr>
        <w:tc>
          <w:tcPr>
            <w:tcW w:type="dxa" w:w="1080"/>
          </w:tcPr>
          <w:p>
            <w:r>
              <w:rPr>
                <w:sz w:val="18"/>
              </w:rPr>
              <w:t>aitod20</w:t>
            </w:r>
          </w:p>
        </w:tc>
        <w:tc>
          <w:tcPr>
            <w:tcW w:type="dxa" w:w="1080"/>
          </w:tcPr>
          <w:p>
            <w:r>
              <w:rPr>
                <w:sz w:val="18"/>
              </w:rPr>
              <w:t>baseline</w:t>
            </w:r>
          </w:p>
        </w:tc>
        <w:tc>
          <w:tcPr>
            <w:tcW w:type="dxa" w:w="1080"/>
          </w:tcPr>
          <w:p>
            <w:r>
              <w:rPr>
                <w:sz w:val="18"/>
              </w:rPr>
              <w:t>1</w:t>
            </w:r>
          </w:p>
        </w:tc>
        <w:tc>
          <w:tcPr>
            <w:tcW w:type="dxa" w:w="1080"/>
          </w:tcPr>
          <w:p>
            <w:r>
              <w:rPr>
                <w:sz w:val="18"/>
              </w:rPr>
              <w:t>0.786</w:t>
            </w:r>
          </w:p>
        </w:tc>
        <w:tc>
          <w:tcPr>
            <w:tcW w:type="dxa" w:w="1080"/>
          </w:tcPr>
          <w:p>
            <w:r>
              <w:rPr>
                <w:sz w:val="18"/>
              </w:rPr>
              <w:t>0.786</w:t>
            </w:r>
          </w:p>
        </w:tc>
        <w:tc>
          <w:tcPr>
            <w:tcW w:type="dxa" w:w="1080"/>
          </w:tcPr>
          <w:p>
            <w:r>
              <w:rPr>
                <w:sz w:val="18"/>
              </w:rPr>
              <w:t>−0.376</w:t>
            </w:r>
          </w:p>
        </w:tc>
        <w:tc>
          <w:tcPr>
            <w:tcW w:type="dxa" w:w="1080"/>
          </w:tcPr>
          <w:p>
            <w:r>
              <w:rPr>
                <w:sz w:val="18"/>
              </w:rPr>
              <w:t>−47.86 %</w:t>
            </w:r>
          </w:p>
        </w:tc>
        <w:tc>
          <w:tcPr>
            <w:tcW w:type="dxa" w:w="1080"/>
          </w:tcPr>
          <w:p>
            <w:r>
              <w:rPr>
                <w:sz w:val="18"/>
              </w:rPr>
              <w:t>−47.86 %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not touch the §8.6/§8.8 realization results, which are differences </w:t>
      </w:r>
      <w:r>
        <w:rPr>
          <w:b/>
        </w:rPr>
        <w:t>between</w:t>
      </w:r>
      <w:r>
        <w:t xml:space="preserve"> endpoints whose common noise largely cancels.</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