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at n = 10 the two headline cells read </w:t>
      </w:r>
      <w:r>
        <w:rPr>
          <w:b/>
        </w:rPr>
        <w:t>+0.544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 and </w:t>
      </w:r>
      <w:r>
        <w:rPr>
          <w:b/>
        </w:rPr>
        <w:t>+0.397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), both 10+/0−, and both differences hold at n = 10 (Supplementary S12). </w:t>
      </w:r>
      <w:r>
        <w:rPr>
          <w:b/>
        </w:rPr>
        <w:t>A different run set from the transfer measurement in §8.6</w:t>
      </w:r>
      <w:r>
        <w:t xml:space="preserve"> — the two tables’ premiums are </w:t>
      </w:r>
      <w:r>
        <w:rPr>
          <w:b/>
        </w:rPr>
        <w:t>different quantities, not two readings of one</w:t>
      </w:r>
      <w:r>
        <w:t xml:space="preserve"> (which run set each uses: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