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Configuration-level split aliasing in object-detection benchmarks: what the reported split is selected on, and how much of the selection survives an independent split</w:t>
      </w:r>
    </w:p>
    <w:p>
      <w:r>
        <w:rPr>
          <w:b/>
        </w:rPr>
        <w:t>Working title (v0.1). Target venue: Pattern Recognition (Elsevier).</w:t>
      </w:r>
    </w:p>
    <w:p>
      <w:r>
        <w:t xml:space="preserve">&gt; </w:t>
      </w:r>
      <w:r>
        <w:rPr>
          <w:b/>
        </w:rPr>
        <w:t>Provenance of this file.</w:t>
      </w:r>
      <w:r>
        <w:t xml:space="preserve"> The English submission form of the P2 manuscript, a faithful</w:t>
      </w:r>
    </w:p>
    <w:p>
      <w:r>
        <w:t xml:space="preserve">&gt; translation of the Chinese governing draft </w:t>
      </w:r>
      <w:r>
        <w:rPr>
          <w:rFonts w:ascii="Consolas" w:hAnsi="Consolas"/>
        </w:rPr>
        <w:t>评测有效性稿_正文_v0.1.md</w:t>
      </w:r>
    </w:p>
    <w:p>
      <w:r>
        <w:t xml:space="preserve">&gt; (md5 </w:t>
      </w:r>
      <w:r>
        <w:rPr>
          <w:rFonts w:ascii="Consolas" w:hAnsi="Consolas"/>
        </w:rPr>
        <w:t>fe880ca0e3af77983382065db75255f3</w:t>
      </w:r>
      <w:r>
        <w:t>, the state it was translated from, 2026-09-18; that draft is a live</w:t>
      </w:r>
    </w:p>
    <w:p>
      <w:r>
        <w:t xml:space="preserve">&gt; document, re-hashed whenever it changes — see </w:t>
      </w:r>
      <w:r>
        <w:rPr>
          <w:rFonts w:ascii="Consolas" w:hAnsi="Consolas"/>
        </w:rPr>
        <w:t>work/verify_text_hashes_20260917.py</w:t>
      </w:r>
      <w:r>
        <w:t>); every number is unchanged and backed by the</w:t>
      </w:r>
    </w:p>
    <w:p>
      <w:r>
        <w:t>&gt; local artifacts listed in the Supplementary Material. Where the drafts disagree, the Chinese governs.</w:t>
      </w:r>
    </w:p>
    <w:p>
      <w:r>
        <w:t xml:space="preserve">&gt; Citation numbers refer to the References section of this manuscript, which is </w:t>
      </w:r>
      <w:r>
        <w:rPr>
          <w:b/>
        </w:rPr>
        <w:t>ordered by first appearance</w:t>
      </w:r>
    </w:p>
    <w:p>
      <w:r>
        <w:t>&gt; in the text (re-ordered once, on 2026-10-04, so that the numbering and the printed order agree). Every entry was verified against Crossref or DataCite DOI records</w:t>
      </w:r>
    </w:p>
    <w:p>
      <w:r>
        <w:t>&gt; or against the cited project's own page before it was added.</w:t>
      </w:r>
    </w:p>
    <w:p>
      <w:r>
        <w:t>&gt; The four citations unresolved in the first draft — [A] the CVPR 2026 geospatial leakage</w:t>
      </w:r>
    </w:p>
    <w:p>
      <w:r>
        <w:t xml:space="preserve">&gt; audit, [B] AI-TOD, [C] UAVDT, [D] D-Fire — are </w:t>
      </w:r>
      <w:r>
        <w:rPr>
          <w:b/>
        </w:rPr>
        <w:t>now verified</w:t>
      </w:r>
      <w:r>
        <w:t xml:space="preserve"> as </w:t>
      </w:r>
      <w:r>
        <w:rPr>
          <w:b/>
        </w:rPr>
        <w:t>[1] [2] [3] [4]</w:t>
      </w:r>
      <w:r>
        <w:t>; two of</w:t>
      </w:r>
    </w:p>
    <w:p>
      <w:r>
        <w:t>&gt; the four titles and one venue had differed in an unverified citation.</w:t>
      </w:r>
    </w:p>
    <w:p>
      <w:pPr>
        <w:pStyle w:val="Heading2"/>
      </w:pPr>
      <w:r>
        <w:rPr>
          <w:rFonts w:ascii="Times New Roman" w:hAnsi="Times New Roman"/>
        </w:rPr>
        <w:t>Abstract</w:t>
      </w:r>
    </w:p>
    <w:p>
      <w:r>
        <w:t>Object-detection papers report a number from a split they call held out. We audit that premise, in three results.</w:t>
      </w:r>
    </w:p>
    <w:p>
      <w:r>
        <w:rPr>
          <w:b/>
        </w:rPr>
        <w:t>1. The convention is broken in our own corpora.</w:t>
      </w:r>
      <w:r>
        <w:t xml:space="preserve"> </w:t>
      </w:r>
      <w:r>
        <w:rPr>
          <w:b/>
        </w:rPr>
        <w:t>6 of 14</w:t>
      </w:r>
      <w:r>
        <w:t xml:space="preserve"> corpora give the reported number no independent held-out split: the checkpoint was selected there, </w:t>
      </w:r>
      <w:r>
        <w:rPr>
          <w:b/>
        </w:rPr>
        <w:t>even though</w:t>
      </w:r>
      <w:r>
        <w:t xml:space="preserve"> training and evaluation do not overlap. What is broken is </w:t>
      </w:r>
      <w:r>
        <w:rPr>
          <w:b/>
        </w:rPr>
        <w:t>checkpoint selection</w:t>
      </w:r>
      <w:r>
        <w:t xml:space="preserve">, not contamination — which turns an ethical question into a </w:t>
      </w:r>
      <w:r>
        <w:rPr>
          <w:b/>
        </w:rPr>
        <w:t>measurement</w:t>
      </w:r>
      <w:r>
        <w:t xml:space="preserve"> one.</w:t>
      </w:r>
    </w:p>
    <w:p>
      <w:r>
        <w:rPr>
          <w:b/>
        </w:rPr>
        <w:t>2. The selection premium only partly survives.</w:t>
      </w:r>
      <w:r>
        <w:t xml:space="preserve"> The premium is positive in every escalated cell; what changes sign by corpus is the </w:t>
      </w:r>
      <w:r>
        <w:rPr>
          <w:b/>
        </w:rPr>
        <w:t>paired Δgap</w:t>
      </w:r>
      <w:r>
        <w:t xml:space="preserve"> — the arms' relative difference on </w:t>
      </w:r>
      <w:r>
        <w:rPr>
          <w:rFonts w:ascii="Consolas" w:hAnsi="Consolas"/>
        </w:rPr>
        <w:t>val</w:t>
      </w:r>
      <w:r>
        <w:t xml:space="preserve"> versus on </w:t>
      </w:r>
      <w:r>
        <w:rPr>
          <w:rFonts w:ascii="Consolas" w:hAnsi="Consolas"/>
        </w:rPr>
        <w:t>test</w:t>
      </w:r>
      <w:r>
        <w:t xml:space="preserve"> — and not the selection term itself. The </w:t>
      </w:r>
      <w:r>
        <w:rPr>
          <w:b/>
        </w:rPr>
        <w:t>mean direction is metric-robust while one cell's significance and sign unanimity are not</w:t>
      </w:r>
      <w:r>
        <w:t xml:space="preserve"> (</w:t>
      </w:r>
      <w:r>
        <w:rPr>
          <w:rFonts w:ascii="Consolas" w:hAnsi="Consolas"/>
        </w:rPr>
        <w:t>smoke2sf</w:t>
      </w:r>
      <w:r>
        <w:t xml:space="preserve">, p = 0.54). A declared, </w:t>
      </w:r>
      <w:r>
        <w:rPr>
          <w:b/>
        </w:rPr>
        <w:t>descriptive</w:t>
      </w:r>
      <w:r>
        <w:t xml:space="preserve"> 13-cell scan leaves </w:t>
      </w:r>
      <w:r>
        <w:rPr>
          <w:b/>
        </w:rPr>
        <w:t>3</w:t>
      </w:r>
      <w:r>
        <w:t xml:space="preserve"> cells after BH, so the direction claim rests on the four escalated cells. </w:t>
      </w:r>
      <w:r>
        <w:rPr>
          <w:b/>
        </w:rPr>
        <w:t>On a disjoint split, realization is partial</w:t>
      </w:r>
      <w:r>
        <w:t xml:space="preserve">: the </w:t>
      </w:r>
      <w:r>
        <w:rPr>
          <w:b/>
        </w:rPr>
        <w:t>claim-level interval includes zero</w:t>
      </w:r>
      <w:r>
        <w:t xml:space="preserve">, and the arm-cell and run-weighted point estimates are </w:t>
      </w:r>
      <w:r>
        <w:rPr>
          <w:b/>
        </w:rPr>
        <w:t>descriptive</w:t>
      </w:r>
      <w:r>
        <w:t xml:space="preserve">, given with intervals only (Table 4). No power analysis was registered, so the scan's nine </w:t>
      </w:r>
      <w:r>
        <w:rPr>
          <w:rFonts w:ascii="Consolas" w:hAnsi="Consolas"/>
        </w:rPr>
        <w:t>n</w:t>
      </w:r>
      <w:r>
        <w:t xml:space="preserve"> = 3 cells stay descriptive.</w:t>
      </w:r>
    </w:p>
    <w:p>
      <w:r>
        <w:rPr>
          <w:b/>
        </w:rPr>
        <w:t>3. The printed count rests on one rater.</w:t>
      </w:r>
      <w:r>
        <w:t xml:space="preserve"> The layer the literature actually reports is printed as </w:t>
      </w:r>
      <w:r>
        <w:rPr>
          <w:b/>
        </w:rPr>
        <w:t>12–14 of 19</w:t>
      </w:r>
      <w:r>
        <w:t xml:space="preserve">; re-verifying every row first-hand and re-coding blind with </w:t>
      </w:r>
      <w:r>
        <w:rPr>
          <w:b/>
        </w:rPr>
        <w:t>five</w:t>
      </w:r>
      <w:r>
        <w:t xml:space="preserve"> current-generation models recovers </w:t>
      </w:r>
      <w:r>
        <w:rPr>
          <w:b/>
        </w:rPr>
        <w:t>19 of 30</w:t>
      </w:r>
      <w:r>
        <w:t xml:space="preserve"> corrected cells, eleven unanimously, while </w:t>
      </w:r>
      <w:r>
        <w:rPr>
          <w:b/>
        </w:rPr>
        <w:t>26 of 76</w:t>
      </w:r>
      <w:r>
        <w:t xml:space="preserve"> stay undecidable and </w:t>
      </w:r>
      <w:r>
        <w:rPr>
          <w:b/>
        </w:rPr>
        <w:t>11 of the 30 are not recovered</w:t>
      </w:r>
      <w:r>
        <w:t xml:space="preserve"> (§6.1, S12).</w:t>
      </w:r>
    </w:p>
    <w:p>
      <w:r>
        <w:rPr>
          <w:b/>
        </w:rPr>
        <w:t>Keywords:</w:t>
      </w:r>
      <w:r>
        <w:t xml:space="preserve"> evaluation validity; dataset splits; checkpoint selection; object detection; benchmark audit; reproducibility</w:t>
      </w:r>
    </w:p>
    <w:p>
      <w:pPr>
        <w:pStyle w:val="Heading2"/>
      </w:pPr>
      <w:r>
        <w:rPr>
          <w:rFonts w:ascii="Times New Roman" w:hAnsi="Times New Roman"/>
        </w:rPr>
        <w:t>1. Introduction</w:t>
      </w:r>
    </w:p>
    <w:p>
      <w:r>
        <w:t xml:space="preserve">A detection paper reports mAP50-95 on a split it calls held out, implying a number that estimates performance on unseen data. The inference needs a premise the paper rarely states: the checkpoint was not chosen on that same split. Binding </w:t>
      </w:r>
      <w:r>
        <w:rPr>
          <w:rFonts w:ascii="Consolas" w:hAnsi="Consolas"/>
        </w:rPr>
        <w:t>val:</w:t>
      </w:r>
      <w:r>
        <w:t xml:space="preserve"> and </w:t>
      </w:r>
      <w:r>
        <w:rPr>
          <w:rFonts w:ascii="Consolas" w:hAnsi="Consolas"/>
        </w:rPr>
        <w:t>test:</w:t>
      </w:r>
      <w:r>
        <w:t xml:space="preserve"> to one directory breaks it silently — the pipeline evaluates there, keeps the best-scoring checkpoint and reports its score: a </w:t>
      </w:r>
      <w:r>
        <w:rPr>
          <w:b/>
        </w:rPr>
        <w:t>maximum</w:t>
      </w:r>
      <w:r>
        <w:t>, not a sample. Surveys of the detection literature [1] trace how that number became the field's unit of comparison; this paper audits the reporting convention producing it.</w:t>
      </w:r>
    </w:p>
    <w:p>
      <w:r>
        <w:t xml:space="preserve">That premise is audited in three places, in increasing distance from our own work: </w:t>
      </w:r>
      <w:r>
        <w:rPr>
          <w:b/>
        </w:rPr>
        <w:t>our own corpora</w:t>
      </w:r>
      <w:r>
        <w:t xml:space="preserve">, where we count how many of our corpora alias the two keys (19 YAML files, counting by file); </w:t>
      </w:r>
      <w:r>
        <w:rPr>
          <w:b/>
        </w:rPr>
        <w:t>19 public benchmarks</w:t>
      </w:r>
      <w:r>
        <w:t xml:space="preserve">, audited row by row for which split the reported number comes from; and </w:t>
      </w:r>
      <w:r>
        <w:rPr>
          <w:b/>
        </w:rPr>
        <w:t>20 published third-party training logs</w:t>
      </w:r>
      <w:r>
        <w:t>, where we measure the premium directly, in data we did not produce.</w:t>
      </w:r>
    </w:p>
    <w:p>
      <w:r>
        <w:t xml:space="preserve">Three further things we have not seen done here. We </w:t>
      </w:r>
      <w:r>
        <w:rPr>
          <w:b/>
        </w:rPr>
        <w:t>measure the premium's fate</w:t>
      </w:r>
      <w:r>
        <w:t xml:space="preserve"> under a protocol separating the selection set from the reported set (</w:t>
      </w:r>
      <w:r>
        <w:rPr>
          <w:rFonts w:ascii="Consolas" w:hAnsi="Consolas"/>
        </w:rPr>
        <w:t>best</w:t>
      </w:r>
      <w:r>
        <w:t xml:space="preserve"> and </w:t>
      </w:r>
      <w:r>
        <w:rPr>
          <w:rFonts w:ascii="Consolas" w:hAnsi="Consolas"/>
        </w:rPr>
        <w:t>last</w:t>
      </w:r>
      <w:r>
        <w:t xml:space="preserve"> checkpoints and both splits exist, so the full 2 × 2 grid is computable): how much of the </w:t>
      </w:r>
      <w:r>
        <w:rPr>
          <w:rFonts w:ascii="Consolas" w:hAnsi="Consolas"/>
        </w:rPr>
        <w:t>val</w:t>
      </w:r>
      <w:r>
        <w:t xml:space="preserve">-selected premium is realized on an independent split — the measurement this paper contributes and §3.1 formalises. The protocol is the companion's and is </w:t>
      </w:r>
      <w:r>
        <w:rPr>
          <w:b/>
        </w:rPr>
        <w:t>cited, not restated</w:t>
      </w:r>
      <w:r>
        <w:t xml:space="preserve">. And we </w:t>
      </w:r>
      <w:r>
        <w:rPr>
          <w:b/>
        </w:rPr>
        <w:t>pre-register</w:t>
      </w:r>
      <w:r>
        <w:t xml:space="preserve"> a generalization hypothesis, then report that it misses its criterion — a registration </w:t>
      </w:r>
      <w:r>
        <w:rPr>
          <w:b/>
        </w:rPr>
        <w:t>also reported in the companion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1.1 Why the unit matters</w:t>
      </w:r>
    </w:p>
    <w:p>
      <w:r>
        <w:t>Ask "how many of these benchmarks have a split problem?" and, unless a unit is declared, every answer is defensible and they disagree by a factor of six: 2/19 (</w:t>
      </w:r>
      <w:r>
        <w:rPr>
          <w:b/>
        </w:rPr>
        <w:t>structural</w:t>
      </w:r>
      <w:r>
        <w:t>: one path bound to both keys), 10/19 (</w:t>
      </w:r>
      <w:r>
        <w:rPr>
          <w:b/>
        </w:rPr>
        <w:t>`release` unit</w:t>
      </w:r>
      <w:r>
        <w:t>: no independent held-out test), 13/19 (</w:t>
      </w:r>
      <w:r>
        <w:rPr>
          <w:b/>
        </w:rPr>
        <w:t>`protocol` unit</w:t>
      </w:r>
      <w:r>
        <w:t xml:space="preserve">: local independent testing gated), </w:t>
      </w:r>
      <w:r>
        <w:rPr>
          <w:b/>
        </w:rPr>
        <w:t>12–14 of the 19</w:t>
      </w:r>
      <w:r>
        <w:t xml:space="preserve"> (</w:t>
      </w:r>
      <w:r>
        <w:rPr>
          <w:b/>
        </w:rPr>
        <w:t>`reported` unit</w:t>
      </w:r>
      <w:r>
        <w:t xml:space="preserve"> — </w:t>
      </w:r>
      <w:r>
        <w:rPr>
          <w:b/>
        </w:rPr>
        <w:t>12</w:t>
      </w:r>
      <w:r>
        <w:t xml:space="preserve"> the single rater's printed coding, </w:t>
      </w:r>
      <w:r>
        <w:rPr>
          <w:b/>
        </w:rPr>
        <w:t>14</w:t>
      </w:r>
      <w:r>
        <w:t xml:space="preserve"> that rater's rows after a </w:t>
      </w:r>
      <w:r>
        <w:rPr>
          <w:b/>
        </w:rPr>
        <w:t>non-blind recoding</w:t>
      </w:r>
      <w:r>
        <w:t xml:space="preserve"> moved two; </w:t>
      </w:r>
      <w:r>
        <w:rPr>
          <w:b/>
        </w:rPr>
        <w:t>five blind coders agree at κ 0.824</w:t>
      </w:r>
      <w:r>
        <w:t xml:space="preserve"> and, once the record is re-verified first-hand, independently reach </w:t>
      </w:r>
      <w:r>
        <w:rPr>
          <w:b/>
        </w:rPr>
        <w:t>19 of the 30</w:t>
      </w:r>
      <w:r>
        <w:t xml:space="preserve"> corrected cells, eleven unanimously (</w:t>
      </w:r>
      <w:r>
        <w:rPr>
          <w:b/>
        </w:rPr>
        <w:t>S12</w:t>
      </w:r>
      <w:r>
        <w:t>); the reported number's split is non-independent). The readings above are all defensible, and §6.1's four counting units (</w:t>
      </w:r>
      <w:r>
        <w:rPr>
          <w:rFonts w:ascii="Consolas" w:hAnsi="Consolas"/>
        </w:rPr>
        <w:t>release</w:t>
      </w:r>
      <w:r>
        <w:t xml:space="preserve">, </w:t>
      </w:r>
      <w:r>
        <w:rPr>
          <w:rFonts w:ascii="Consolas" w:hAnsi="Consolas"/>
        </w:rPr>
        <w:t>protocol</w:t>
      </w:r>
      <w:r>
        <w:t xml:space="preserve">, </w:t>
      </w:r>
      <w:r>
        <w:rPr>
          <w:rFonts w:ascii="Consolas" w:hAnsi="Consolas"/>
        </w:rPr>
        <w:t>yolo_dist</w:t>
      </w:r>
      <w:r>
        <w:t xml:space="preserve">, </w:t>
      </w:r>
      <w:r>
        <w:rPr>
          <w:rFonts w:ascii="Consolas" w:hAnsi="Consolas"/>
        </w:rPr>
        <w:t>reported</w:t>
      </w:r>
      <w:r>
        <w:t xml:space="preserve">) are the </w:t>
      </w:r>
      <w:r>
        <w:rPr>
          <w:b/>
        </w:rPr>
        <w:t>columns</w:t>
      </w:r>
      <w:r>
        <w:t xml:space="preserve"> they come from — including </w:t>
      </w:r>
      <w:r>
        <w:rPr>
          <w:rFonts w:ascii="Consolas" w:hAnsi="Consolas"/>
        </w:rPr>
        <w:t>yolo_dist</w:t>
      </w:r>
      <w:r>
        <w:t xml:space="preserve">, omitted above, at </w:t>
      </w:r>
      <w:r>
        <w:rPr>
          <w:b/>
        </w:rPr>
        <w:t>4/19</w:t>
      </w:r>
      <w:r>
        <w:t>. Declaring the unit is therefore a methodological premise, not a caveat (§3, §6).</w:t>
      </w:r>
    </w:p>
    <w:p>
      <w:pPr>
        <w:pStyle w:val="Heading3"/>
      </w:pPr>
      <w:r>
        <w:rPr>
          <w:rFonts w:ascii="Times New Roman" w:hAnsi="Times New Roman"/>
        </w:rPr>
        <w:t>1.2 What we do not claim</w:t>
      </w:r>
    </w:p>
    <w:p>
      <w:r>
        <w:t xml:space="preserve">We do not claim that aliasing is data contamination: the image-level intersection between the training and held-out evaluation images is </w:t>
      </w:r>
      <w:r>
        <w:rPr>
          <w:b/>
        </w:rPr>
        <w:t>zero</w:t>
      </w:r>
      <w:r>
        <w:t xml:space="preserve"> (SHWD excepted, where </w:t>
      </w:r>
      <w:r>
        <w:rPr>
          <w:rFonts w:ascii="Consolas" w:hAnsi="Consolas"/>
        </w:rPr>
        <w:t>train</w:t>
      </w:r>
      <w:r>
        <w:t xml:space="preserve"> and </w:t>
      </w:r>
      <w:r>
        <w:rPr>
          <w:rFonts w:ascii="Consolas" w:hAnsi="Consolas"/>
        </w:rPr>
        <w:t>val</w:t>
      </w:r>
      <w:r>
        <w:t xml:space="preserve"> are one directory). We do not claim a single bias direction: our paired analysis finds </w:t>
      </w:r>
      <w:r>
        <w:rPr>
          <w:b/>
        </w:rPr>
        <w:t>two corpora where `val` understates and two where it overstates</w:t>
      </w:r>
      <w:r>
        <w:t xml:space="preserve">, and </w:t>
      </w:r>
      <w:r>
        <w:rPr>
          <w:b/>
        </w:rPr>
        <w:t>nine cells are not testable at n = 3</w:t>
      </w:r>
      <w:r>
        <w:t xml:space="preserve"> (§5.1, §7.1). Nor do we claim the convention is framework-general (§6.5) or that the audited benchmarks are wrong: they report what their configuration computes.</w:t>
      </w:r>
    </w:p>
    <w:p>
      <w:r>
        <w:rPr>
          <w:b/>
        </w:rPr>
        <w:t>Positioning (one sentence).</w:t>
      </w:r>
      <w:r>
        <w:t xml:space="preserve"> We claim neither to be first to audit split problems in detection benchmarks nor to audit image-level leakage: both are taken. We occupy a different cell — </w:t>
      </w:r>
      <w:r>
        <w:rPr>
          <w:b/>
        </w:rPr>
        <w:t>configuration-level aliasing, a direction that varies by corpus, and the requirement that a count declare its unit.</w:t>
      </w:r>
      <w:r>
        <w:t xml:space="preserve"> Every number points to a local artifact; every claim narrowed after external checking is recorded as narrowed (§5.4).</w:t>
      </w:r>
    </w:p>
    <w:p>
      <w:r>
        <w:rPr>
          <w:b/>
        </w:rPr>
        <w:t>Scope.</w:t>
      </w:r>
      <w:r>
        <w:t xml:space="preserve"> All quantitative claims about selection behaviour come from </w:t>
      </w:r>
      <w:r>
        <w:rPr>
          <w:b/>
        </w:rPr>
        <w:t>YOLO-lineage pipelines</w:t>
      </w:r>
      <w:r>
        <w:t xml:space="preserve">, the only family among the six frameworks we checked (five pinned repositories plus the Ultralytics release) selecting the checkpoint by the validation metric by default (§6.5) — stated at the claim, not only in a limitations section. </w:t>
      </w:r>
      <w:r>
        <w:rPr>
          <w:b/>
        </w:rPr>
        <w:t>The registered multi-target replication is reported in the companion paper, and its first report, criterion and verdict stay there</w:t>
      </w:r>
      <w:r>
        <w:t xml:space="preserve"> (§9): this paper cites it for readability and </w:t>
      </w:r>
      <w:r>
        <w:rPr>
          <w:b/>
        </w:rPr>
        <w:t>claims none of its results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2. Contributions and related work</w:t>
      </w:r>
    </w:p>
    <w:p>
      <w:r>
        <w:rPr>
          <w:b/>
        </w:rPr>
        <w:t>Where this paper sits.</w:t>
      </w:r>
      <w:r>
        <w:t xml:space="preserve"> Reporting practice has itself been audited: leakage and near-duplicate contamination [3], [4], [11]; split naming and the choice of standard splits [8], [9]; experiment- reporting standards [7]; checkpoint-selection criteria [6]; and budget-dependent rankings [2]. Each audits</w:t>
      </w:r>
    </w:p>
    <w:p>
      <w:r>
        <w:rPr>
          <w:b/>
        </w:rPr>
        <w:t>data, reporting, or selection</w:t>
      </w:r>
      <w:r>
        <w:t xml:space="preserve">; </w:t>
      </w:r>
      <w:r>
        <w:rPr>
          <w:b/>
        </w:rPr>
        <w:t>none audits a release’s configuration binding</w:t>
      </w:r>
      <w:r>
        <w:t xml:space="preserve"> — the object of §3–§6.</w:t>
      </w:r>
    </w:p>
    <w:p>
      <w:pPr>
        <w:pStyle w:val="Heading3"/>
      </w:pPr>
      <w:r>
        <w:rPr>
          <w:rFonts w:ascii="Times New Roman" w:hAnsi="Times New Roman"/>
        </w:rPr>
        <w:t>2.1 The closest work, and where this paper sits (detailed)</w:t>
      </w:r>
    </w:p>
    <w:p>
      <w:r>
        <w:t>&gt; The detailed comparison — the nine prior lines of work, what each measures, and the axis on which</w:t>
      </w:r>
    </w:p>
    <w:p>
      <w:r>
        <w:t xml:space="preserve">&gt; this paper differs — is </w:t>
      </w:r>
      <w:r>
        <w:rPr>
          <w:b/>
        </w:rPr>
        <w:t>Table S45 in the Supplementary material</w:t>
      </w:r>
      <w:r>
        <w:t>; it is not printed here because</w:t>
      </w:r>
    </w:p>
    <w:p>
      <w:r>
        <w:t>&gt; the journal counts text inside the 20–35 page limit and the comparison is background, not a claim.</w:t>
      </w:r>
    </w:p>
    <w:p>
      <w:r>
        <w:t xml:space="preserve">&gt; </w:t>
      </w:r>
      <w:r>
        <w:rPr>
          <w:b/>
        </w:rPr>
        <w:t>§2.2 (Contributions) and §2.3 (what we do not claim) are unaffected.</w:t>
      </w:r>
    </w:p>
    <w:p>
      <w:pPr>
        <w:pStyle w:val="Heading3"/>
      </w:pPr>
      <w:r>
        <w:rPr>
          <w:rFonts w:ascii="Times New Roman" w:hAnsi="Times New Roman"/>
        </w:rPr>
        <w:t>2.2 Contributions</w:t>
      </w:r>
    </w:p>
    <w:p>
      <w:r>
        <w:rPr>
          <w:b/>
        </w:rPr>
        <w:t>What this paper reports first</w:t>
      </w:r>
      <w:r>
        <w:t xml:space="preserve"> (the boundary to the companion is in §2.3): the configuration-level audit of the </w:t>
      </w:r>
      <w:r>
        <w:rPr>
          <w:rFonts w:ascii="Consolas" w:hAnsi="Consolas"/>
        </w:rPr>
        <w:t>val</w:t>
      </w:r>
      <w:r>
        <w:t>/</w:t>
      </w:r>
      <w:r>
        <w:rPr>
          <w:rFonts w:ascii="Consolas" w:hAnsi="Consolas"/>
        </w:rPr>
        <w:t>test</w:t>
      </w:r>
      <w:r>
        <w:t xml:space="preserve"> convention and its selection premium (§4–5); and the </w:t>
      </w:r>
      <w:r>
        <w:rPr>
          <w:b/>
        </w:rPr>
        <w:t>measured</w:t>
      </w:r>
      <w:r>
        <w:t xml:space="preserve"> realization of that premium on a disjoint split with the reporting conventions it depends on (§8.6–8.7, §11, §3.1).</w:t>
      </w:r>
    </w:p>
    <w:p>
      <w:r>
        <w:t xml:space="preserve">1. </w:t>
      </w:r>
      <w:r>
        <w:rPr>
          <w:b/>
        </w:rPr>
        <w:t>We quantify the magnitude and direction of configuration-level aliasing.</w:t>
      </w:r>
      <w:r>
        <w:t xml:space="preserve"> The selection premium (best − last) is </w:t>
      </w:r>
      <w:r>
        <w:rPr>
          <w:b/>
        </w:rPr>
        <w:t>positive in all four cells, the baseline arm gaining more</w:t>
      </w:r>
      <w:r>
        <w:t xml:space="preserve"> — </w:t>
      </w:r>
      <w:r>
        <w:rPr>
          <w:b/>
        </w:rPr>
        <w:t>on an escalated four-cell base, not a sample</w:t>
      </w:r>
      <w:r>
        <w:t xml:space="preserve"> (</w:t>
      </w:r>
      <w:r>
        <w:rPr>
          <w:b/>
        </w:rPr>
        <w:t>near-definitional; §5.1</w:t>
      </w:r>
      <w:r>
        <w:t xml:space="preserve">; four paired 95 % CIs excluding zero, §5.1 Tier 1) — </w:t>
      </w:r>
      <w:r>
        <w:rPr>
          <w:b/>
        </w:rPr>
        <w:t>consistent with the selection-bias literature</w:t>
      </w:r>
      <w:r>
        <w:t xml:space="preserve"> [5], not new in kind. </w:t>
      </w:r>
      <w:r>
        <w:rPr>
          <w:b/>
        </w:rPr>
        <w:t>All four cells meet the stated-n criterion (n = 10–11)</w:t>
      </w:r>
      <w:r>
        <w:t xml:space="preserve"> and all four survive a Benjamini–Hochberg step over </w:t>
      </w:r>
      <w:r>
        <w:rPr>
          <w:b/>
        </w:rPr>
        <w:t>these four</w:t>
      </w:r>
      <w:r>
        <w:t xml:space="preserve"> at q = 0.05 — the fourth, </w:t>
      </w:r>
      <w:r>
        <w:rPr>
          <w:rFonts w:ascii="Consolas" w:hAnsi="Consolas"/>
        </w:rPr>
        <w:t>dota15</w:t>
      </w:r>
      <w:r>
        <w:t>, entered at n = 3 and was escalated to n = 10 under a criterion fixed in advance (</w:t>
      </w:r>
      <w:r>
        <w:rPr>
          <w:b/>
        </w:rPr>
        <w:t>Table S28's note</w:t>
      </w:r>
      <w:r>
        <w:t xml:space="preserve">) — so the convention systematically shifts </w:t>
      </w:r>
      <w:r>
        <w:rPr>
          <w:b/>
        </w:rPr>
        <w:t>arm-to-arm comparisons</w:t>
      </w:r>
      <w:r>
        <w:t xml:space="preserve">; its direction varies by corpus: three-way paired differencing gives 2 cells where </w:t>
      </w:r>
      <w:r>
        <w:rPr>
          <w:rFonts w:ascii="Consolas" w:hAnsi="Consolas"/>
        </w:rPr>
        <w:t>val</w:t>
      </w:r>
      <w:r>
        <w:t xml:space="preserve"> understates, 2 where it overstates and 9 not testable at n = 3 — the </w:t>
      </w:r>
      <w:r>
        <w:rPr>
          <w:b/>
        </w:rPr>
        <w:t>no-systematic-direction</w:t>
      </w:r>
      <w:r>
        <w:t xml:space="preserve"> [10] reports, measured here on detection corpora.</w:t>
      </w:r>
    </w:p>
    <w:p>
      <w:r>
        <w:rPr>
          <w:b/>
        </w:rPr>
        <w:t>We do not claim a general understatement</w:t>
      </w:r>
      <w:r>
        <w:t xml:space="preserve"> (§5). It appears in third-party logs too (a searched 20-log sample; §5.5) — corroboration that the component exists elsewhere, </w:t>
      </w:r>
      <w:r>
        <w:rPr>
          <w:b/>
        </w:rPr>
        <w:t>not independent evidence</w:t>
      </w:r>
      <w:r>
        <w:t xml:space="preserve"> and not a field-level rate.</w:t>
      </w:r>
    </w:p>
    <w:p>
      <w:r>
        <w:rPr>
          <w:i/>
        </w:rPr>
        <w:t xml:space="preserve">Note: </w:t>
      </w:r>
      <w:r>
        <w:rPr>
          <w:i/>
        </w:rPr>
        <w:t>image-level</w:t>
      </w:r>
      <w:r>
        <w:t>* leakage magnitude is quantified by the two 2026 studies;</w:t>
      </w:r>
    </w:p>
    <w:p>
      <w:r>
        <w:rPr>
          <w:b/>
        </w:rPr>
        <w:t>configuration-level</w:t>
      </w:r>
      <w:r>
        <w:t xml:space="preserve"> aliasing magnitude has not been measured before.*</w:t>
      </w:r>
    </w:p>
    <w:p>
      <w:r>
        <w:t xml:space="preserve">2. </w:t>
      </w:r>
      <w:r>
        <w:rPr>
          <w:b/>
        </w:rPr>
        <w:t>We measure how far the selection premium transfers.</w:t>
      </w:r>
      <w:r>
        <w:t xml:space="preserve"> The measurement is the contribution; the protocol that makes it readable is the companion's and is </w:t>
      </w:r>
      <w:r>
        <w:rPr>
          <w:b/>
        </w:rPr>
        <w:t>cited, not restated</w:t>
      </w:r>
      <w:r>
        <w:t xml:space="preserve"> here (§8.1). On the five arm-cells measured here the </w:t>
      </w:r>
      <w:r>
        <w:rPr>
          <w:rFonts w:ascii="Consolas" w:hAnsi="Consolas"/>
        </w:rPr>
        <w:t>val</w:t>
      </w:r>
      <w:r>
        <w:t>-selected premium is realized on the disjoint split at</w:t>
      </w:r>
    </w:p>
    <w:p>
      <w:r>
        <w:rPr>
          <w:b/>
        </w:rPr>
        <w:t>23.3 %</w:t>
      </w:r>
      <w:r>
        <w:t xml:space="preserve"> with all five arm-cells at n = 10, and it is </w:t>
      </w:r>
      <w:r>
        <w:rPr>
          <w:b/>
        </w:rPr>
        <w:t>not a constant</w:t>
      </w:r>
      <w:r>
        <w:t xml:space="preserve">: the rate falls with the validation noise of the criterion used to select (§8.6–§8.7). The identity tying it to the winner's-curse share we </w:t>
      </w:r>
      <w:r>
        <w:rPr>
          <w:b/>
        </w:rPr>
        <w:t>adopt</w:t>
      </w:r>
      <w:r>
        <w:t xml:space="preserve"> [13], not claim; the closest concurrent work [12, 15] reaches the same </w:t>
      </w:r>
      <w:r>
        <w:rPr>
          <w:b/>
        </w:rPr>
        <w:t>direction</w:t>
      </w:r>
      <w:r>
        <w:t xml:space="preserve"> with a different quantity, and neither reports a </w:t>
      </w:r>
      <w:r>
        <w:rPr>
          <w:b/>
        </w:rPr>
        <w:t>ratio of difference premiums</w:t>
      </w:r>
      <w:r>
        <w:t xml:space="preserve"> — </w:t>
      </w:r>
      <w:r>
        <w:rPr>
          <w:rFonts w:ascii="Consolas" w:hAnsi="Consolas"/>
        </w:rPr>
        <w:t>(T_best − T_final)/(V_max − V_final)</w:t>
      </w:r>
      <w:r>
        <w:t xml:space="preserve">, on disjoint splits, in detection, on our own arm-cells, with measured </w:t>
      </w:r>
      <w:r>
        <w:rPr>
          <w:rFonts w:ascii="Consolas" w:hAnsi="Consolas"/>
        </w:rPr>
        <w:t>val</w:t>
      </w:r>
      <w:r>
        <w:t xml:space="preserve"> noise as moderator. A same-estimand ratio does exist elsewhere — in genomics, where it is written as a relative bias and measured at 10–60 % (</w:t>
      </w:r>
      <w:r>
        <w:rPr>
          <w:b/>
        </w:rPr>
        <w:t>Supplementary S12</w:t>
      </w:r>
      <w:r>
        <w:t xml:space="preserve"> carries the full citation). The replicate axis is </w:t>
      </w:r>
      <w:r>
        <w:rPr>
          <w:b/>
        </w:rPr>
        <w:t>data order</w:t>
      </w:r>
      <w:r>
        <w:t xml:space="preserve"> (§8.4) — the </w:t>
      </w:r>
      <w:r>
        <w:rPr>
          <w:b/>
        </w:rPr>
        <w:t>seed-budget discipline reproduced inside this setting</w:t>
      </w:r>
      <w:r>
        <w:t xml:space="preserve"> rather than a new one.</w:t>
      </w:r>
    </w:p>
    <w:p>
      <w:r>
        <w:t xml:space="preserve">3. </w:t>
      </w:r>
      <w:r>
        <w:rPr>
          <w:b/>
        </w:rPr>
        <w:t>We disclose our own defects, and the corrections that followed</w:t>
      </w:r>
      <w:r>
        <w:t xml:space="preserve"> rather than removing them: our analysis' first version had non-reproducible items — pod-dependent scripts, a citation to a file not holding the quoted numbers, no written endpoint convention. §10, not deleted.</w:t>
      </w:r>
    </w:p>
    <w:p>
      <w:pPr>
        <w:pStyle w:val="Heading3"/>
      </w:pPr>
      <w:r>
        <w:rPr>
          <w:rFonts w:ascii="Times New Roman" w:hAnsi="Times New Roman"/>
        </w:rPr>
        <w:t>2.3 What we explicitly do not claim (shared tooling)</w:t>
      </w:r>
    </w:p>
    <w:p>
      <w:r>
        <w:t xml:space="preserve">The companion and this paper share project-internal process protocols — a multi-model review checklist and a local/cloud scripting discipline — and neither claims originality for them: </w:t>
      </w:r>
      <w:r>
        <w:rPr>
          <w:b/>
        </w:rPr>
        <w:t>Supplementary S6</w:t>
      </w:r>
      <w:r>
        <w:t xml:space="preserve">, </w:t>
      </w:r>
      <w:r>
        <w:rPr>
          <w:i/>
        </w:rPr>
        <w:t>Shared process protocols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3. Units: the methodological premise</w:t>
      </w:r>
    </w:p>
    <w:p>
      <w:r>
        <w:t xml:space="preserve">"Have a split problem" is a property of a </w:t>
      </w:r>
      <w:r>
        <w:rPr>
          <w:b/>
        </w:rPr>
        <w:t>(benchmark, counting unit)</w:t>
      </w:r>
      <w:r>
        <w:t xml:space="preserve"> pair, not of a benchmark. </w:t>
      </w:r>
      <w:r>
        <w:rPr>
          <w:b/>
        </w:rPr>
        <w:t>[14] varies the definition on one file; we vary who controls the split and measure a different quantity: the share of `val`-selected premium that survives a disjoint split.</w:t>
      </w:r>
      <w:r>
        <w:t xml:space="preserve"> We use four units, defined by </w:t>
      </w:r>
      <w:r>
        <w:rPr>
          <w:b/>
        </w:rPr>
        <w:t>who controls the split</w:t>
      </w:r>
      <w:r>
        <w:t>:</w:t>
      </w:r>
    </w:p>
    <w:p>
      <w:r>
        <w:t xml:space="preserve">- </w:t>
      </w:r>
      <w:r>
        <w:rPr>
          <w:b/>
        </w:rPr>
        <w:t>`release`</w:t>
      </w:r>
      <w:r>
        <w:t xml:space="preserve"> — the split the benchmark's </w:t>
      </w:r>
      <w:r>
        <w:rPr>
          <w:b/>
        </w:rPr>
        <w:t>own published release</w:t>
      </w:r>
      <w:r>
        <w:t xml:space="preserve"> ships: the </w:t>
      </w:r>
      <w:r>
        <w:rPr>
          <w:rFonts w:ascii="Consolas" w:hAnsi="Consolas"/>
        </w:rPr>
        <w:t>train:</w:t>
      </w:r>
      <w:r>
        <w:t xml:space="preserve"> / </w:t>
      </w:r>
      <w:r>
        <w:rPr>
          <w:rFonts w:ascii="Consolas" w:hAnsi="Consolas"/>
        </w:rPr>
        <w:t>val:</w:t>
      </w:r>
      <w:r>
        <w:t xml:space="preserve"> / </w:t>
      </w:r>
      <w:r>
        <w:rPr>
          <w:rFonts w:ascii="Consolas" w:hAnsi="Consolas"/>
        </w:rPr>
        <w:t>test:</w:t>
      </w:r>
      <w:r>
        <w:t xml:space="preserve"> entries and paths in the distributed archive. </w:t>
      </w:r>
      <w:r>
        <w:rPr>
          <w:i/>
        </w:rPr>
        <w:t>Example</w:t>
      </w:r>
      <w:r>
        <w:t xml:space="preserve">: an archive whose </w:t>
      </w:r>
      <w:r>
        <w:rPr>
          <w:rFonts w:ascii="Consolas" w:hAnsi="Consolas"/>
        </w:rPr>
        <w:t>data.yaml</w:t>
      </w:r>
      <w:r>
        <w:t xml:space="preserve"> binds </w:t>
      </w:r>
      <w:r>
        <w:rPr>
          <w:rFonts w:ascii="Consolas" w:hAnsi="Consolas"/>
        </w:rPr>
        <w:t>val:</w:t>
      </w:r>
      <w:r>
        <w:t xml:space="preserve"> and </w:t>
      </w:r>
      <w:r>
        <w:rPr>
          <w:rFonts w:ascii="Consolas" w:hAnsi="Consolas"/>
        </w:rPr>
        <w:t>test:</w:t>
      </w:r>
      <w:r>
        <w:t xml:space="preserve"> to the </w:t>
      </w:r>
      <w:r>
        <w:rPr>
          <w:b/>
        </w:rPr>
        <w:t>same directory</w:t>
      </w:r>
      <w:r>
        <w:t xml:space="preserve"> records "yes" here (§4).</w:t>
      </w:r>
    </w:p>
    <w:p>
      <w:r>
        <w:t xml:space="preserve">- </w:t>
      </w:r>
      <w:r>
        <w:rPr>
          <w:b/>
        </w:rPr>
        <w:t>`protocol`</w:t>
      </w:r>
      <w:r>
        <w:t xml:space="preserve"> — the split the benchmark's </w:t>
      </w:r>
      <w:r>
        <w:rPr>
          <w:b/>
        </w:rPr>
        <w:t>official protocol</w:t>
      </w:r>
      <w:r>
        <w:t xml:space="preserve"> tells you to use, which need not be the released one: a protocol may carve its own validation set out of the released training split.</w:t>
      </w:r>
    </w:p>
    <w:p>
      <w:r>
        <w:rPr>
          <w:i/>
        </w:rPr>
        <w:t>Example</w:t>
      </w:r>
      <w:r>
        <w:t>: an aliasing release whose documented protocol still requires a held-out test split records "no" here and "yes" above — the units answer different questions.</w:t>
      </w:r>
    </w:p>
    <w:p>
      <w:r>
        <w:t xml:space="preserve">- </w:t>
      </w:r>
      <w:r>
        <w:rPr>
          <w:b/>
        </w:rPr>
        <w:t>`yolo_dist`</w:t>
      </w:r>
      <w:r>
        <w:t xml:space="preserve"> — the split a </w:t>
      </w:r>
      <w:r>
        <w:rPr>
          <w:b/>
        </w:rPr>
        <w:t>generic YOLO distribution package's</w:t>
      </w:r>
      <w:r>
        <w:t xml:space="preserve"> own configuration resolves to, i.e. what a practitioner taking the pipeline off the shelf gets. </w:t>
      </w:r>
      <w:r>
        <w:rPr>
          <w:i/>
        </w:rPr>
        <w:t>Example</w:t>
      </w:r>
      <w:r>
        <w:t xml:space="preserve">: a clean release whose community YAML points </w:t>
      </w:r>
      <w:r>
        <w:rPr>
          <w:rFonts w:ascii="Consolas" w:hAnsi="Consolas"/>
        </w:rPr>
        <w:t>val:</w:t>
      </w:r>
      <w:r>
        <w:t xml:space="preserve"> and </w:t>
      </w:r>
      <w:r>
        <w:rPr>
          <w:rFonts w:ascii="Consolas" w:hAnsi="Consolas"/>
        </w:rPr>
        <w:t>test:</w:t>
      </w:r>
      <w:r>
        <w:t xml:space="preserve"> at one directory records "yes" </w:t>
      </w:r>
      <w:r>
        <w:rPr>
          <w:b/>
        </w:rPr>
        <w:t>only</w:t>
      </w:r>
      <w:r>
        <w:t xml:space="preserve"> here.</w:t>
      </w:r>
    </w:p>
    <w:p>
      <w:r>
        <w:t xml:space="preserve">- </w:t>
      </w:r>
      <w:r>
        <w:rPr>
          <w:b/>
        </w:rPr>
        <w:t>`reported`</w:t>
      </w:r>
      <w:r>
        <w:t xml:space="preserve"> — the split the number </w:t>
      </w:r>
      <w:r>
        <w:rPr>
          <w:b/>
        </w:rPr>
        <w:t>the literature prints</w:t>
      </w:r>
      <w:r>
        <w:t xml:space="preserve"> came from (not the official leaderboard's own score), read from the release documentation and the dataset's own paper. </w:t>
      </w:r>
      <w:r>
        <w:rPr>
          <w:i/>
        </w:rPr>
        <w:t>Example</w:t>
      </w:r>
      <w:r>
        <w:t>: two papers on one benchmark can differ here while agreeing under all three units above — hence the headline count uses this unit (§6.1).</w:t>
      </w:r>
    </w:p>
    <w:p>
      <w:r>
        <w:rPr>
          <w:b/>
        </w:rPr>
        <w:t>A count is meaningless without its unit</w:t>
      </w:r>
      <w:r>
        <w:t>: the same nineteen benchmarks answer differently under each (Fig. 1).</w:t>
      </w:r>
    </w:p>
    <w:p>
      <w:r>
        <w:rPr>
          <w:b/>
        </w:rPr>
        <w:t>The proposition is not ours to claim.</w:t>
      </w:r>
      <w:r>
        <w:t xml:space="preserve"> That </w:t>
      </w:r>
      <w:r>
        <w:rPr>
          <w:i/>
        </w:rPr>
        <w:t>the same data yield different defensible audit counts under different operational definitions</w:t>
      </w:r>
      <w:r>
        <w:t xml:space="preserve"> is stated independently for molecular benchmark auditing, in a 2026 preprint whose abstract closes "different defensible definitions return different answers from the same file" [14]. </w:t>
      </w:r>
      <w:r>
        <w:rPr>
          <w:b/>
        </w:rPr>
        <w:t>The observation is the cited literature's; its instantiation in detection evaluation, and the four named units, are ours</w:t>
      </w:r>
      <w:r>
        <w:t xml:space="preserve"> — the units named by </w:t>
      </w:r>
      <w:r>
        <w:rPr>
          <w:i/>
        </w:rPr>
        <w:t>who controls the split</w:t>
      </w:r>
      <w:r>
        <w:t xml:space="preserve">, the 19-row evidence table, and the premium on </w:t>
      </w:r>
      <w:r>
        <w:rPr>
          <w:b/>
        </w:rPr>
        <w:t>five arm-cells</w:t>
      </w:r>
      <w:r>
        <w:t xml:space="preserve">. It is orthogonal to [15], which separates leakage by </w:t>
      </w:r>
      <w:r>
        <w:rPr>
          <w:b/>
        </w:rPr>
        <w:t>type</w:t>
      </w:r>
      <w:r>
        <w:t xml:space="preserve">; we separate the </w:t>
      </w:r>
      <w:r>
        <w:rPr>
          <w:b/>
        </w:rPr>
        <w:t>counting subject</w:t>
      </w:r>
      <w:r>
        <w:t>, so one type can still be counted under four units (§6.1).</w:t>
      </w:r>
    </w:p>
    <w:p>
      <w:r>
        <w:t xml:space="preserve">&gt; </w:t>
      </w:r>
      <w:r>
        <w:rPr>
          <w:b/>
        </w:rPr>
        <w:t>Table S2</w:t>
      </w:r>
      <w:r>
        <w:t xml:space="preserve"> → Supplementary §S8.</w:t>
      </w:r>
    </w:p>
    <w:p>
      <w:r>
        <w:rPr>
          <w:b/>
        </w:rPr>
        <w:t>The `reported` unit is read from the release documentation and from the dataset's own paper</w:t>
      </w:r>
      <w:r>
        <w:t xml:space="preserve">: we did not sample papers per benchmark, so no prevalence claim is made (§11). For each of 19 benchmarks we record all four units, an evidence class and a confidence level, and recompute every percentage from the row markers under a per-unit subtotal check </w:t>
      </w:r>
      <w:r>
        <w:rPr>
          <w:b/>
        </w:rPr>
        <w:t>and one stated `n_a` rule</w:t>
      </w:r>
      <w:r>
        <w:t xml:space="preserve"> (</w:t>
      </w:r>
      <w:r>
        <w:rPr>
          <w:b/>
        </w:rPr>
        <w:t>Supplementary S12</w:t>
      </w:r>
      <w:r>
        <w:t xml:space="preserve">) — the full 19 × 4 table and the cross-check against the original audit are </w:t>
      </w:r>
      <w:r>
        <w:rPr>
          <w:b/>
        </w:rPr>
        <w:t>Supplementary S1</w:t>
      </w:r>
      <w:r>
        <w:t>, the derived counts §6.1 and its table.</w:t>
      </w:r>
    </w:p>
    <w:p>
      <w:r>
        <w:rPr>
          <w:b/>
        </w:rPr>
        <w:t>The rule itself is not new.</w:t>
      </w:r>
      <w:r>
        <w:t xml:space="preserve"> The same toolchain's own course states it normatively — </w:t>
      </w:r>
      <w:r>
        <w:rPr>
          <w:i/>
        </w:rPr>
        <w:t>"Test set is touched once, at the end. Not for tuning."</w:t>
      </w:r>
      <w:r>
        <w:t xml:space="preserve"> and </w:t>
      </w:r>
      <w:r>
        <w:rPr>
          <w:i/>
        </w:rPr>
        <w:t>"The splits must be independent on the dimension that matters at deployment."</w:t>
      </w:r>
      <w:r>
        <w:t xml:space="preserve"> [16] — so what this paper adds is not the rule but the </w:t>
      </w:r>
      <w:r>
        <w:rPr>
          <w:b/>
        </w:rPr>
        <w:t>audit and the count</w:t>
      </w:r>
      <w:r>
        <w:t xml:space="preserve"> under it.</w:t>
      </w:r>
    </w:p>
    <w:p>
      <w:r>
        <w:rPr>
          <w:b/>
        </w:rPr>
        <w:t>The premise we rely on throughout:</w:t>
      </w:r>
      <w:r>
        <w:t xml:space="preserve"> a "yes" under any unit means </w:t>
      </w:r>
      <w:r>
        <w:rPr>
          <w:i/>
        </w:rPr>
        <w:t>the reported number is not a sample from an independent split</w:t>
      </w:r>
      <w:r>
        <w:t xml:space="preserve">. </w:t>
      </w:r>
      <w:r>
        <w:rPr>
          <w:b/>
        </w:rPr>
        <w:t>What that does and does not license is stated where the counts are printed</w:t>
      </w:r>
      <w:r>
        <w:t xml:space="preserve"> (§6.1 and the note under its table).</w:t>
      </w:r>
    </w:p>
    <w:p>
      <w:pPr>
        <w:pStyle w:val="Heading3"/>
      </w:pPr>
      <w:r>
        <w:rPr>
          <w:rFonts w:ascii="Times New Roman" w:hAnsi="Times New Roman"/>
        </w:rPr>
        <w:t>3.1 Formalisation: what the four quantities are, and what they can and cannot identify</w:t>
      </w:r>
    </w:p>
    <w:p>
      <w:r>
        <w:rPr>
          <w:b/>
        </w:rPr>
        <w:t>Setup.</w:t>
      </w:r>
      <w:r>
        <w:t xml:space="preserve"> Training is a randomised map from (seed ω, recipe θ, checkpoint e) to weights, and evaluation a fixed functional on a labelled split; write V(e) and T(e) for a checkpoint’s </w:t>
      </w:r>
      <w:r>
        <w:rPr>
          <w:rFonts w:ascii="Consolas" w:hAnsi="Consolas"/>
        </w:rPr>
        <w:t>val</w:t>
      </w:r>
      <w:r>
        <w:t xml:space="preserve"> and </w:t>
      </w:r>
      <w:r>
        <w:rPr>
          <w:rFonts w:ascii="Consolas" w:hAnsi="Consolas"/>
        </w:rPr>
        <w:t>test</w:t>
      </w:r>
      <w:r>
        <w:t xml:space="preserve"> readings and ê for the </w:t>
      </w:r>
      <w:r>
        <w:rPr>
          <w:rFonts w:ascii="Consolas" w:hAnsi="Consolas"/>
        </w:rPr>
        <w:t>val</w:t>
      </w:r>
      <w:r>
        <w:t xml:space="preserve"> argmax. Sections 5–9 measure four quantities: the selection premium, Δgap, κ, the realization rate (</w:t>
      </w:r>
      <w:r>
        <w:rPr>
          <w:b/>
        </w:rPr>
        <w:t>notation and formal statements: Supplementary S11</w:t>
      </w:r>
      <w:r>
        <w:t>).</w:t>
      </w:r>
    </w:p>
    <w:p>
      <w:r>
        <w:rPr>
          <w:b/>
        </w:rPr>
        <w:t>Definition — the raw gap is not identifiable from the pair alone.</w:t>
      </w:r>
      <w:r>
        <w:t xml:space="preserve"> G = V(ê) − T(ê) = δ + o mixes a split-difficulty term with a selection-optimism term; the decomposition, </w:t>
      </w:r>
      <w:r>
        <w:rPr>
          <w:b/>
        </w:rPr>
        <w:t>and the reading that a single-model endpoint pair is unable to separate its two terms, are [17]'s</w:t>
      </w:r>
      <w:r>
        <w:t xml:space="preserve">, while its </w:t>
      </w:r>
      <w:r>
        <w:rPr>
          <w:b/>
        </w:rPr>
        <w:t>strong form</w:t>
      </w:r>
      <w:r>
        <w:t xml:space="preserve"> — that </w:t>
      </w:r>
      <w:r>
        <w:rPr>
          <w:i/>
        </w:rPr>
        <w:t>any</w:t>
      </w:r>
      <w:r>
        <w:t xml:space="preserve"> δ′ fits the observation equally well — is </w:t>
      </w:r>
      <w:r>
        <w:rPr>
          <w:b/>
        </w:rPr>
        <w:t>stated here as a formalisation rather than attributed to that literature</w:t>
      </w:r>
      <w:r>
        <w:t xml:space="preserve">. </w:t>
      </w:r>
      <w:r>
        <w:rPr>
          <w:b/>
        </w:rPr>
        <w:t>The pairing assumption is what makes Δgap meaningful</w:t>
      </w:r>
      <w:r>
        <w:t>, failing by construction under aliasing so that §9 cannot be read as a clean-protocol result; the identity holds value by value on all 13 scanned cells and both escalated cells at n = 10 (§5.6).</w:t>
      </w:r>
    </w:p>
    <w:p>
      <w:r>
        <w:rPr>
          <w:b/>
        </w:rPr>
        <w:t>Adopted identity, not a claim of this paper.</w:t>
      </w:r>
      <w:r>
        <w:t xml:space="preserve"> With V(e) = v(e) + ε_e and T(e) = v(e) + τ + η_e, </w:t>
      </w:r>
      <w:r>
        <w:rPr>
          <w:b/>
        </w:rPr>
        <w:t>E[premium_test] = E[premium_val] − WC</w:t>
      </w:r>
      <w:r>
        <w:t xml:space="preserve">, WC := E[ε_ê − ε_e_f] ≥ 0 — the argmax is over a </w:t>
      </w:r>
      <w:r>
        <w:rPr>
          <w:b/>
        </w:rPr>
        <w:t>candidate set fixed in advance</w:t>
      </w:r>
      <w:r>
        <w:t xml:space="preserve"> and </w:t>
      </w:r>
      <w:r>
        <w:rPr>
          <w:rFonts w:ascii="Consolas" w:hAnsi="Consolas"/>
        </w:rPr>
        <w:t>e_f</w:t>
      </w:r>
      <w:r>
        <w:t xml:space="preserve"> is a </w:t>
      </w:r>
      <w:r>
        <w:rPr>
          <w:b/>
        </w:rPr>
        <w:t>pre-specified member of it</w:t>
      </w:r>
      <w:r>
        <w:t xml:space="preserve"> (what the budget-fixed </w:t>
      </w:r>
      <w:r>
        <w:rPr>
          <w:rFonts w:ascii="Consolas" w:hAnsi="Consolas"/>
        </w:rPr>
        <w:t>last</w:t>
      </w:r>
      <w:r>
        <w:t xml:space="preserve"> gives) — so the realization rate is </w:t>
      </w:r>
      <w:r>
        <w:rPr>
          <w:b/>
        </w:rPr>
        <w:t>1 − WC / E[premium_val] ≤ 1</w:t>
      </w:r>
      <w:r>
        <w:t>, with equality only if selection is driven by signal alone [13] (</w:t>
      </w:r>
      <w:r>
        <w:rPr>
          <w:b/>
        </w:rPr>
        <w:t>Supplementary S11</w:t>
      </w:r>
      <w:r>
        <w:t xml:space="preserve"> states which part of that the archive can and cannot settle) — the optimizer's curse in this paper's notation, the frame for §8.6–§8.7. </w:t>
      </w:r>
      <w:r>
        <w:rPr>
          <w:b/>
        </w:rPr>
        <w:t>Two consequences are testable on the archive</w:t>
      </w:r>
      <w:r>
        <w:t xml:space="preserve"> — the per-run inequality, and monotonicity in the </w:t>
      </w:r>
      <w:r>
        <w:rPr>
          <w:rFonts w:ascii="Consolas" w:hAnsi="Consolas"/>
        </w:rPr>
        <w:t>val</w:t>
      </w:r>
      <w:r>
        <w:t xml:space="preserve"> noise (</w:t>
      </w:r>
      <w:r>
        <w:rPr>
          <w:b/>
        </w:rPr>
        <w:t>Supplementary S11</w:t>
      </w:r>
      <w:r>
        <w:t xml:space="preserve">). A third form, that the premium scales as σ√(2 ln E), was </w:t>
      </w:r>
      <w:r>
        <w:rPr>
          <w:b/>
        </w:rPr>
        <w:t>tested and withdrawn</w:t>
      </w:r>
      <w:r>
        <w:t xml:space="preserve"> (</w:t>
      </w:r>
      <w:r>
        <w:rPr>
          <w:b/>
        </w:rPr>
        <w:t>Supplementary S11</w:t>
      </w:r>
      <w:r>
        <w:t xml:space="preserve">); contemporaneous work measures </w:t>
      </w:r>
      <w:r>
        <w:rPr>
          <w:b/>
        </w:rPr>
        <w:t>≈5×</w:t>
      </w:r>
      <w:r>
        <w:t xml:space="preserve"> on the same σ√(2 ln K) bound [18].</w:t>
      </w:r>
    </w:p>
    <w:p>
      <w:r>
        <w:rPr>
          <w:b/>
        </w:rPr>
        <w:t>Corollary (the premium is mostly shape, and the peak is the worst place to stand).</w:t>
      </w:r>
      <w:r>
        <w:t xml:space="preserve"> </w:t>
      </w:r>
      <w:r>
        <w:rPr>
          <w:rFonts w:ascii="Consolas" w:hAnsi="Consolas"/>
        </w:rPr>
        <w:t>premium_r = shape(E) + ν_r</w:t>
      </w:r>
      <w:r>
        <w:t xml:space="preserve"> holds </w:t>
      </w:r>
      <w:r>
        <w:rPr>
          <w:b/>
        </w:rPr>
        <w:t>exactly</w:t>
      </w:r>
      <w:r>
        <w:t xml:space="preserve">, </w:t>
      </w:r>
      <w:r>
        <w:rPr>
          <w:rFonts w:ascii="Consolas" w:hAnsi="Consolas"/>
        </w:rPr>
        <w:t>shape(E)</w:t>
      </w:r>
      <w:r>
        <w:t xml:space="preserve"> being the mean curve's peak-to-final gap, so </w:t>
      </w:r>
      <w:r>
        <w:rPr>
          <w:rFonts w:ascii="Consolas" w:hAnsi="Consolas"/>
        </w:rPr>
        <w:t>shape</w:t>
      </w:r>
      <w:r>
        <w:t xml:space="preserve"> is a functional of the mean curve alone — </w:t>
      </w:r>
      <w:r>
        <w:rPr>
          <w:b/>
        </w:rPr>
        <w:t>not</w:t>
      </w:r>
      <w:r>
        <w:t xml:space="preserve"> an independent check on σ — and </w:t>
      </w:r>
      <w:r>
        <w:rPr>
          <w:rFonts w:ascii="Consolas" w:hAnsi="Consolas"/>
        </w:rPr>
        <w:t>E[ν_r] ≥ 0</w:t>
      </w:r>
      <w:r>
        <w:t xml:space="preserve">. On our 40-run four-budget series </w:t>
      </w:r>
      <w:r>
        <w:rPr>
          <w:b/>
        </w:rPr>
        <w:t>the monotone criterion is met on the clean re-run</w:t>
      </w:r>
      <w:r>
        <w:t xml:space="preserve"> while the σ√(2 ln E) form is </w:t>
      </w:r>
      <w:r>
        <w:rPr>
          <w:b/>
        </w:rPr>
        <w:t>outside</w:t>
      </w:r>
      <w:r>
        <w:t xml:space="preserve"> its pre-declared band, so that scaling </w:t>
      </w:r>
      <w:r>
        <w:rPr>
          <w:b/>
        </w:rPr>
        <w:t>stays withdrawn</w:t>
      </w:r>
      <w:r>
        <w:t xml:space="preserve">; the pre-declared shape control passes on the mean it specifies but fails per arm, and we report both readings — the with-early-stopping series carrying the pre-declared verdict — so </w:t>
      </w:r>
      <w:r>
        <w:rPr>
          <w:b/>
        </w:rPr>
        <w:t>we do not claim an `E` effect</w:t>
      </w:r>
      <w:r>
        <w:t xml:space="preserve">. The checkpoint rule is a </w:t>
      </w:r>
      <w:r>
        <w:rPr>
          <w:b/>
        </w:rPr>
        <w:t>reporting rule</w:t>
      </w:r>
      <w:r>
        <w:t xml:space="preserve"> (the top-5 mean beats the argmax on the same 40 runs), with </w:t>
      </w:r>
      <w:r>
        <w:rPr>
          <w:b/>
        </w:rPr>
        <w:t>three limits</w:t>
      </w:r>
      <w:r>
        <w:t xml:space="preserve">: an empirical capture rate, a </w:t>
      </w:r>
      <w:r>
        <w:rPr>
          <w:rFonts w:ascii="Consolas" w:hAnsi="Consolas"/>
        </w:rPr>
        <w:t>val</w:t>
      </w:r>
      <w:r>
        <w:t>-side cost the argmax does not carry, and a two-split, five-epoch-grid scope.</w:t>
      </w:r>
    </w:p>
    <w:p>
      <w:r>
        <w:rPr>
          <w:b/>
        </w:rPr>
        <w:t>What is ours, and what is not.</w:t>
      </w:r>
      <w:r>
        <w:t xml:space="preserve"> Of the statements that follow, the raw gap's definition [17], the impossibility result for endpoint-pair estimators [19] and the family-dependence procedure [20] are </w:t>
      </w:r>
      <w:r>
        <w:rPr>
          <w:b/>
        </w:rPr>
        <w:t>machinery rather than results of ours</w:t>
      </w:r>
      <w:r>
        <w:t xml:space="preserve">, and the identity is </w:t>
      </w:r>
      <w:r>
        <w:rPr>
          <w:b/>
        </w:rPr>
        <w:t>adopted</w:t>
      </w:r>
      <w:r>
        <w:t xml:space="preserve"> from the selection-bias literature; </w:t>
      </w:r>
      <w:r>
        <w:rPr>
          <w:b/>
        </w:rPr>
        <w:t>the corollary alone carries measurements of this paper</w:t>
      </w:r>
      <w:r>
        <w:t xml:space="preserve">. Full statements and proofs are in </w:t>
      </w:r>
      <w:r>
        <w:rPr>
          <w:b/>
        </w:rPr>
        <w:t>Supplementary S11</w:t>
      </w:r>
      <w:r>
        <w:t xml:space="preserve">, and the detail displaced from here in </w:t>
      </w:r>
      <w:r>
        <w:rPr>
          <w:b/>
        </w:rPr>
        <w:t>Supplementary S12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3.2 Six experiments, five judged criteria, on GPU machines, each with its criterion written down first</w:t>
      </w:r>
    </w:p>
    <w:p>
      <w:r>
        <w:t xml:space="preserve">The propositions of §S11 are testable, so we ran them on rented GPUs with the </w:t>
      </w:r>
      <w:r>
        <w:rPr>
          <w:b/>
        </w:rPr>
        <w:t>criterion fixed before the runs</w:t>
      </w:r>
      <w:r>
        <w:t xml:space="preserve">; </w:t>
      </w:r>
      <w:r>
        <w:rPr>
          <w:b/>
        </w:rPr>
        <w:t>Supplementary Table S37</w:t>
      </w:r>
      <w:r>
        <w:t xml:space="preserve"> gives, for each of the six experiments, the criterion it was judged against. Counts below are over </w:t>
      </w:r>
      <w:r>
        <w:rPr>
          <w:b/>
        </w:rPr>
        <w:t>experiments</w:t>
      </w:r>
      <w:r>
        <w:t>, not criteria.</w:t>
      </w:r>
    </w:p>
    <w:p>
      <w:r>
        <w:rPr>
          <w:b/>
        </w:rPr>
        <w:t>The two negative outcomes and the redone design are stated as such in Supplementary Table S37</w:t>
      </w:r>
      <w:r>
        <w:t xml:space="preserve"> (G1 is void; </w:t>
      </w:r>
      <w:r>
        <w:rPr>
          <w:b/>
        </w:rPr>
        <w:t>two of the five judged experiments are negative — G1′ and G2</w:t>
      </w:r>
      <w:r>
        <w:t xml:space="preserve">; the values behind every verdict are in </w:t>
      </w:r>
      <w:r>
        <w:rPr>
          <w:b/>
        </w:rPr>
        <w:t>S31–S33</w:t>
      </w:r>
      <w:r>
        <w:t xml:space="preserve">, the G1 family in </w:t>
      </w:r>
      <w:r>
        <w:rPr>
          <w:b/>
        </w:rPr>
        <w:t>S12</w:t>
      </w:r>
      <w:r>
        <w:t xml:space="preserve">; the reading below is stated more weakly in </w:t>
      </w:r>
      <w:r>
        <w:rPr>
          <w:b/>
        </w:rPr>
        <w:t>Supplementary S11, section 13.3</w:t>
      </w:r>
      <w:r>
        <w:t>).</w:t>
      </w:r>
    </w:p>
    <w:p>
      <w:r>
        <w:rPr>
          <w:b/>
        </w:rPr>
        <w:t>We then ran the clean test</w:t>
      </w:r>
      <w:r>
        <w:t xml:space="preserve"> of G3's epoch-budget series on </w:t>
      </w:r>
      <w:r>
        <w:rPr>
          <w:b/>
        </w:rPr>
        <w:t>one machine with early stopping disabled</w:t>
      </w:r>
      <w:r>
        <w:t xml:space="preserve">, all four budgets present: C1 is </w:t>
      </w:r>
      <w:r>
        <w:rPr>
          <w:b/>
        </w:rPr>
        <w:t>met</w:t>
      </w:r>
      <w:r>
        <w:t xml:space="preserve">, C2 falls </w:t>
      </w:r>
      <w:r>
        <w:rPr>
          <w:b/>
        </w:rPr>
        <w:t>outside</w:t>
      </w:r>
      <w:r>
        <w:t xml:space="preserve"> its band, and C3 </w:t>
      </w:r>
      <w:r>
        <w:rPr>
          <w:b/>
        </w:rPr>
        <w:t>passes</w:t>
      </w:r>
      <w:r>
        <w:t xml:space="preserve"> on the mean ê/E it specifies but not per arm — see §3.1 and </w:t>
      </w:r>
      <w:r>
        <w:rPr>
          <w:b/>
        </w:rPr>
        <w:t>Table S34b</w:t>
      </w:r>
      <w:r>
        <w:t xml:space="preserve">; </w:t>
      </w:r>
      <w:r>
        <w:rPr>
          <w:b/>
        </w:rPr>
        <w:t>the pre-declared verdict stays with the with-early-stopping series</w:t>
      </w:r>
      <w:r>
        <w:t xml:space="preserve">. The judged criteria carry one message, </w:t>
      </w:r>
      <w:r>
        <w:rPr>
          <w:b/>
        </w:rPr>
        <w:t>at the level of sign, not of functional form</w:t>
      </w:r>
      <w:r>
        <w:t xml:space="preserve">: the selection bias moves with the amount of selection noise and with the number of selection opportunities, but not with whether the two splits are the same file — </w:t>
      </w:r>
      <w:r>
        <w:rPr>
          <w:b/>
        </w:rPr>
        <w:t>the form itself was withdrawn</w:t>
      </w:r>
      <w:r>
        <w:t xml:space="preserve"> (§3.1). Two consequences do not follow: §4's configuration-level fact stands, while the stronger reading — that aliasing </w:t>
      </w:r>
      <w:r>
        <w:rPr>
          <w:i/>
        </w:rPr>
        <w:t>adds</w:t>
      </w:r>
      <w:r>
        <w:t xml:space="preserve"> a measurable amount on top — does not. </w:t>
      </w:r>
      <w:r>
        <w:rPr>
          <w:b/>
        </w:rPr>
        <w:t>The premium this paper measures is the premium of selecting on the reported split; aliasing is the configuration that guarantees it, not an additional term.</w:t>
      </w:r>
    </w:p>
    <w:p>
      <w:r>
        <w:t xml:space="preserve">On the shared 5-epoch grid the </w:t>
      </w:r>
      <w:r>
        <w:rPr>
          <w:rFonts w:ascii="Consolas" w:hAnsi="Consolas"/>
        </w:rPr>
        <w:t>val</w:t>
      </w:r>
      <w:r>
        <w:t xml:space="preserve"> and </w:t>
      </w:r>
      <w:r>
        <w:rPr>
          <w:rFonts w:ascii="Consolas" w:hAnsi="Consolas"/>
        </w:rPr>
        <w:t>test</w:t>
      </w:r>
      <w:r>
        <w:t xml:space="preserve"> peaks agree in only </w:t>
      </w:r>
      <w:r>
        <w:rPr>
          <w:b/>
        </w:rPr>
        <w:t>17.5 %</w:t>
      </w:r>
      <w:r>
        <w:t xml:space="preserve"> of runs, and conditioning on that single observable splits the 40 runs: where they agree the </w:t>
      </w:r>
      <w:r>
        <w:rPr>
          <w:b/>
        </w:rPr>
        <w:t>median Δgap is lower</w:t>
      </w:r>
      <w:r>
        <w:t xml:space="preserve"> (mean </w:t>
      </w:r>
      <w:r>
        <w:rPr>
          <w:b/>
        </w:rPr>
        <w:t>+0.13 pp</w:t>
      </w:r>
      <w:r>
        <w:t xml:space="preserve">, median </w:t>
      </w:r>
      <w:r>
        <w:rPr>
          <w:b/>
        </w:rPr>
        <w:t>−0.20 pp</w:t>
      </w:r>
      <w:r>
        <w:t xml:space="preserve">, n = 7; </w:t>
      </w:r>
      <w:r>
        <w:rPr>
          <w:b/>
        </w:rPr>
        <w:t>post-hoc</w:t>
      </w:r>
      <w:r>
        <w:t xml:space="preserve">), where they differ it is </w:t>
      </w:r>
      <w:r>
        <w:rPr>
          <w:b/>
        </w:rPr>
        <w:t>systematically not</w:t>
      </w:r>
      <w:r>
        <w:t xml:space="preserve"> (mean </w:t>
      </w:r>
      <w:r>
        <w:rPr>
          <w:b/>
        </w:rPr>
        <w:t>+0.91 pp</w:t>
      </w:r>
      <w:r>
        <w:t xml:space="preserve">, n = 33; permutation p = </w:t>
      </w:r>
      <w:r>
        <w:rPr>
          <w:b/>
        </w:rPr>
        <w:t>0.009</w:t>
      </w:r>
      <w:r>
        <w:t xml:space="preserve">, </w:t>
      </w:r>
      <w:r>
        <w:rPr>
          <w:b/>
        </w:rPr>
        <w:t>post-hoc</w:t>
      </w:r>
      <w:r>
        <w:t xml:space="preserve">; the median reading is </w:t>
      </w:r>
      <w:r>
        <w:rPr>
          <w:b/>
        </w:rPr>
        <w:t>p = 0.0011</w:t>
      </w:r>
      <w:r>
        <w:t xml:space="preserve">). </w:t>
      </w:r>
      <w:r>
        <w:rPr>
          <w:b/>
        </w:rPr>
        <w:t>This is a partial predictor, not an explanation of the sign</w:t>
      </w:r>
      <w:r>
        <w:t xml:space="preserve">; its limits — including the four of seven agreement runs whose gap is non-positive — and the per-run table and test are in </w:t>
      </w:r>
      <w:r>
        <w:rPr>
          <w:b/>
        </w:rPr>
        <w:t>Supplementary S11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4. Finding 1: our own corpora</w:t>
      </w:r>
    </w:p>
    <w:p>
      <w:pPr>
        <w:pStyle w:val="Heading3"/>
      </w:pPr>
      <w:r>
        <w:rPr>
          <w:rFonts w:ascii="Times New Roman" w:hAnsi="Times New Roman"/>
        </w:rPr>
        <w:t>4.1 How common the aliasing is</w:t>
      </w:r>
    </w:p>
    <w:p>
      <w:r>
        <w:t xml:space="preserve">In </w:t>
      </w:r>
      <w:r>
        <w:rPr>
          <w:b/>
        </w:rPr>
        <w:t>our own packaged configurations</w:t>
      </w:r>
      <w:r>
        <w:t xml:space="preserve"> — the YAMLs we train from, a different object from a benchmark's own release — </w:t>
      </w:r>
      <w:r>
        <w:rPr>
          <w:b/>
        </w:rPr>
        <w:t>6 of 14</w:t>
      </w:r>
      <w:r>
        <w:t xml:space="preserve"> give the reported number no independent held-out split: </w:t>
      </w:r>
      <w:r>
        <w:rPr>
          <w:b/>
        </w:rPr>
        <w:t>AI-TOD, DOTA v1, DOTA v1.5, Mendeley face-mask, SFCHD</w:t>
      </w:r>
      <w:r>
        <w:t xml:space="preserve"> (five binding </w:t>
      </w:r>
      <w:r>
        <w:rPr>
          <w:rFonts w:ascii="Consolas" w:hAnsi="Consolas"/>
        </w:rPr>
        <w:t>val:</w:t>
      </w:r>
      <w:r>
        <w:t xml:space="preserve"> to </w:t>
      </w:r>
      <w:r>
        <w:rPr>
          <w:rFonts w:ascii="Consolas" w:hAnsi="Consolas"/>
        </w:rPr>
        <w:t>test:</w:t>
      </w:r>
      <w:r>
        <w:t xml:space="preserve">) and </w:t>
      </w:r>
      <w:r>
        <w:rPr>
          <w:b/>
        </w:rPr>
        <w:t>SHWD</w:t>
      </w:r>
      <w:r>
        <w:t xml:space="preserve"> (which binds </w:t>
      </w:r>
      <w:r>
        <w:rPr>
          <w:rFonts w:ascii="Consolas" w:hAnsi="Consolas"/>
        </w:rPr>
        <w:t>train</w:t>
      </w:r>
      <w:r>
        <w:t xml:space="preserve"> to </w:t>
      </w:r>
      <w:r>
        <w:rPr>
          <w:rFonts w:ascii="Consolas" w:hAnsi="Consolas"/>
        </w:rPr>
        <w:t>val</w:t>
      </w:r>
      <w:r>
        <w:t xml:space="preserve">; </w:t>
      </w:r>
      <w:r>
        <w:rPr>
          <w:b/>
        </w:rPr>
        <w:t>S1</w:t>
      </w:r>
      <w:r>
        <w:t xml:space="preserve"> row 13). Of the remaining 8, </w:t>
      </w:r>
      <w:r>
        <w:rPr>
          <w:b/>
        </w:rPr>
        <w:t>4</w:t>
      </w:r>
      <w:r>
        <w:t xml:space="preserve"> keep the keys genuinely distinct and </w:t>
      </w:r>
      <w:r>
        <w:rPr>
          <w:b/>
        </w:rPr>
        <w:t>4</w:t>
      </w:r>
      <w:r>
        <w:t xml:space="preserve"> have no </w:t>
      </w:r>
      <w:r>
        <w:rPr>
          <w:rFonts w:ascii="Consolas" w:hAnsi="Consolas"/>
        </w:rPr>
        <w:t>test:</w:t>
      </w:r>
      <w:r>
        <w:t xml:space="preserve"> key at all — the three groups account for all 14, and this is </w:t>
      </w:r>
      <w:r>
        <w:rPr>
          <w:b/>
        </w:rPr>
        <w:t>a count over the configurations we hold, not a prevalence, nor the benchmarks' own releases</w:t>
      </w:r>
      <w:r>
        <w:t xml:space="preserve"> (audited separately, §6.1). Counting by file, </w:t>
      </w:r>
      <w:r>
        <w:rPr>
          <w:b/>
        </w:rPr>
        <w:t>19 YAML files</w:t>
      </w:r>
      <w:r>
        <w:t xml:space="preserve"> alias the two keys, in five locations; on the archived manifest subset the ratio is </w:t>
      </w:r>
      <w:r>
        <w:rPr>
          <w:b/>
        </w:rPr>
        <w:t>8 of 28</w:t>
      </w:r>
      <w:r>
        <w:t xml:space="preserve">. </w:t>
      </w:r>
      <w:r>
        <w:rPr>
          <w:b/>
        </w:rPr>
        <w:t>These three bases answer three different questions</w:t>
      </w:r>
      <w:r>
        <w:t xml:space="preserve"> — configurations (6 of 14), the files inside them (19), the archived manifest's rows (8 of 28) — </w:t>
      </w:r>
      <w:r>
        <w:rPr>
          <w:b/>
        </w:rPr>
        <w:t>not three estimates of one rate.</w:t>
      </w:r>
    </w:p>
    <w:p>
      <w:r>
        <w:rPr>
          <w:b/>
        </w:rPr>
        <w:t>For the corpora whose `val` and `test` are the same directory this is not contamination</w:t>
      </w:r>
      <w:r>
        <w:t xml:space="preserve">: their image-level intersection with training is </w:t>
      </w:r>
      <w:r>
        <w:rPr>
          <w:b/>
        </w:rPr>
        <w:t>exactly zero</w:t>
      </w:r>
      <w:r>
        <w:t xml:space="preserve">, so the aliasing changes not </w:t>
      </w:r>
      <w:r>
        <w:rPr>
          <w:i/>
        </w:rPr>
        <w:t>what</w:t>
      </w:r>
      <w:r>
        <w:t xml:space="preserve"> was evaluated but </w:t>
      </w:r>
      <w:r>
        <w:rPr>
          <w:i/>
        </w:rPr>
        <w:t>which checkpoint</w:t>
      </w:r>
      <w:r>
        <w:t xml:space="preserve"> was reported, turning "selection contamination" from an ethical question into a </w:t>
      </w:r>
      <w:r>
        <w:rPr>
          <w:b/>
        </w:rPr>
        <w:t>measurement</w:t>
      </w:r>
      <w:r>
        <w:t xml:space="preserve"> question. </w:t>
      </w:r>
      <w:r>
        <w:rPr>
          <w:b/>
        </w:rPr>
        <w:t>SHWD is the exception and is not folded into that statement</w:t>
      </w:r>
      <w:r>
        <w:t xml:space="preserve">: with </w:t>
      </w:r>
      <w:r>
        <w:rPr>
          <w:rFonts w:ascii="Consolas" w:hAnsi="Consolas"/>
        </w:rPr>
        <w:t>train</w:t>
      </w:r>
      <w:r>
        <w:t xml:space="preserve"> and </w:t>
      </w:r>
      <w:r>
        <w:rPr>
          <w:rFonts w:ascii="Consolas" w:hAnsi="Consolas"/>
        </w:rPr>
        <w:t>val</w:t>
      </w:r>
      <w:r>
        <w:t xml:space="preserve"> on one directory, its training and evaluation images are the same files. </w:t>
      </w:r>
      <w:r>
        <w:rPr>
          <w:b/>
        </w:rPr>
        <w:t>It still counts among the six, for the reason the list is about: its `val` is not an independent held-out split either.</w:t>
      </w:r>
    </w:p>
    <w:p>
      <w:pPr>
        <w:pStyle w:val="Heading3"/>
      </w:pPr>
      <w:r>
        <w:rPr>
          <w:rFonts w:ascii="Times New Roman" w:hAnsi="Times New Roman"/>
        </w:rPr>
        <w:t>4.2 The failure is produced by a tool, not by carelessness</w:t>
      </w:r>
    </w:p>
    <w:p>
      <w:r>
        <w:t xml:space="preserve">A PASCAL VOC [21]→YOLO conversion script wrote two keys from one </w:t>
      </w:r>
      <w:r>
        <w:rPr>
          <w:rFonts w:ascii="Consolas" w:hAnsi="Consolas"/>
        </w:rPr>
        <w:t>images_dir</w:t>
      </w:r>
      <w:r>
        <w:t xml:space="preserve">, so </w:t>
      </w:r>
      <w:r>
        <w:rPr>
          <w:rFonts w:ascii="Consolas" w:hAnsi="Consolas"/>
        </w:rPr>
        <w:t>train == val</w:t>
      </w:r>
      <w:r>
        <w:t xml:space="preserve"> appears </w:t>
      </w:r>
      <w:r>
        <w:rPr>
          <w:b/>
        </w:rPr>
        <w:t>because the generator could not produce distinct values</w:t>
      </w:r>
      <w:r>
        <w:t xml:space="preserve"> (§6.1 records the same for Mendeley face-mask [22]). §10's first recommendation: make "are </w:t>
      </w:r>
      <w:r>
        <w:rPr>
          <w:rFonts w:ascii="Consolas" w:hAnsi="Consolas"/>
        </w:rPr>
        <w:t>val</w:t>
      </w:r>
      <w:r>
        <w:t xml:space="preserve"> and </w:t>
      </w:r>
      <w:r>
        <w:rPr>
          <w:rFonts w:ascii="Consolas" w:hAnsi="Consolas"/>
        </w:rPr>
        <w:t>test</w:t>
      </w:r>
      <w:r>
        <w:t xml:space="preserve"> the same source?" a </w:t>
      </w:r>
      <w:r>
        <w:rPr>
          <w:b/>
        </w:rPr>
        <w:t>pipeline-level hard check</w:t>
      </w:r>
      <w:r>
        <w:t xml:space="preserve"> — human YAML review will not catch it.</w:t>
      </w:r>
    </w:p>
    <w:p>
      <w:pPr>
        <w:pStyle w:val="Heading2"/>
      </w:pPr>
      <w:r>
        <w:rPr>
          <w:rFonts w:ascii="Times New Roman" w:hAnsi="Times New Roman"/>
        </w:rPr>
        <w:t>5. Finding 2: the selection premium — magnitude, direction, and mechanism</w:t>
      </w:r>
    </w:p>
    <w:p>
      <w:r>
        <w:rPr>
          <w:b/>
        </w:rPr>
        <w:t>Evidence.</w:t>
      </w:r>
      <w:r>
        <w:t xml:space="preserve"> </w:t>
      </w:r>
      <w:r>
        <w:rPr>
          <w:rFonts w:ascii="Consolas" w:hAnsi="Consolas"/>
        </w:rPr>
        <w:t>eval_validity/selection_premium_local_20260916.txt</w:t>
      </w:r>
      <w:r>
        <w:t xml:space="preserve">, reading </w:t>
      </w:r>
      <w:r>
        <w:rPr>
          <w:b/>
        </w:rPr>
        <w:t>569 archived runs</w:t>
      </w:r>
      <w:r>
        <w:t xml:space="preserve"> from the local archive (the local version is the 2026-09-16 repair).</w:t>
      </w:r>
    </w:p>
    <w:p>
      <w:r>
        <w:rPr>
          <w:b/>
        </w:rPr>
        <w:t>Definition.</w:t>
      </w:r>
      <w:r>
        <w:t xml:space="preserve"> premium = </w:t>
      </w:r>
      <w:r>
        <w:rPr>
          <w:b/>
        </w:rPr>
        <w:t>best-epoch − final-epoch</w:t>
      </w:r>
      <w:r>
        <w:t xml:space="preserve"> mAP50-95 </w:t>
      </w:r>
      <w:r>
        <w:rPr>
          <w:b/>
        </w:rPr>
        <w:t>within a single run</w:t>
      </w:r>
      <w:r>
        <w:t xml:space="preserve">. When </w:t>
      </w:r>
      <w:r>
        <w:rPr>
          <w:rFonts w:ascii="Consolas" w:hAnsi="Consolas"/>
        </w:rPr>
        <w:t>val == test</w:t>
      </w:r>
      <w:r>
        <w:t xml:space="preserve">, "best" was selected on the reported split, while </w:t>
      </w:r>
      <w:r>
        <w:rPr>
          <w:rFonts w:ascii="Consolas" w:hAnsi="Consolas"/>
        </w:rPr>
        <w:t>last</w:t>
      </w:r>
      <w:r>
        <w:t xml:space="preserve"> and </w:t>
      </w:r>
      <w:r>
        <w:rPr>
          <w:rFonts w:ascii="Consolas" w:hAnsi="Consolas"/>
        </w:rPr>
        <w:t>last5</w:t>
      </w:r>
      <w:r>
        <w:t xml:space="preserve"> are endpoints </w:t>
      </w:r>
      <w:r>
        <w:rPr>
          <w:b/>
        </w:rPr>
        <w:t>no selection rule can reach</w:t>
      </w:r>
      <w:r>
        <w:t xml:space="preserve">. This is the checkpoint-selection term of the run-to-run variation studied in [23] (early stopping, data order) and [24] (benchmark variance across seeds). Being a maximum over a noisy curve, it also carries the upward bias of any selected extreme [13]: what those works average over as uncertainty, we measure as a reproducible component. </w:t>
      </w:r>
      <w:r>
        <w:rPr>
          <w:b/>
        </w:rPr>
        <w:t>The two arms.</w:t>
      </w:r>
      <w:r>
        <w:t xml:space="preserve"> Every cell is a paired comparison in which the </w:t>
      </w:r>
      <w:r>
        <w:rPr>
          <w:b/>
        </w:rPr>
        <w:t>baseline</w:t>
      </w:r>
      <w:r>
        <w:t xml:space="preserve"> arm follows the published convention and the </w:t>
      </w:r>
      <w:r>
        <w:rPr>
          <w:b/>
        </w:rPr>
        <w:t>strategy</w:t>
      </w:r>
      <w:r>
        <w:t xml:space="preserve"> arm is the intervention under test — in the cells reported here, raising the peak learning rate from </w:t>
      </w:r>
      <w:r>
        <w:rPr>
          <w:b/>
        </w:rPr>
        <w:t>0.001 to 0.005</w:t>
      </w:r>
      <w:r>
        <w:t xml:space="preserve"> with everything else held fixed (batch 32, imgsz 640, SGD; YOLOv12n with the shape-aware IoU). The two arms run the same code and the same data.</w:t>
      </w:r>
    </w:p>
    <w:p>
      <w:r>
        <w:t xml:space="preserve">&gt; </w:t>
      </w:r>
      <w:r>
        <w:rPr>
          <w:b/>
        </w:rPr>
        <w:t>Table S3</w:t>
      </w:r>
      <w:r>
        <w:t xml:space="preserve"> → Supplementary §S8.</w:t>
      </w:r>
    </w:p>
    <w:p>
      <w:pPr>
        <w:pStyle w:val="Heading3"/>
      </w:pPr>
      <w:r>
        <w:rPr>
          <w:rFonts w:ascii="Times New Roman" w:hAnsi="Times New Roman"/>
        </w:rPr>
        <w:t>5.1 Direction: reported in two tiers, and the second tier's sign varies by corpus</w:t>
      </w:r>
    </w:p>
    <w:p>
      <w:r>
        <w:t xml:space="preserve">The direction claim </w:t>
      </w:r>
      <w:r>
        <w:rPr>
          <w:b/>
        </w:rPr>
        <w:t>must be reported in two tiers</w:t>
      </w:r>
      <w:r>
        <w:t xml:space="preserve">: "the convention understates the effect" is wrong, and external checking refuted it (§5.4, II). </w:t>
      </w:r>
      <w:r>
        <w:rPr>
          <w:b/>
        </w:rPr>
        <w:t>Endpoint convention (frozen):</w:t>
      </w:r>
      <w:r>
        <w:t xml:space="preserve"> </w:t>
      </w:r>
      <w:r>
        <w:rPr>
          <w:rFonts w:ascii="Consolas" w:hAnsi="Consolas"/>
        </w:rPr>
        <w:t>best − last</w:t>
      </w:r>
    </w:p>
    <w:p>
      <w:r>
        <w:rPr>
          <w:b/>
        </w:rPr>
        <w:t>within a single run</w:t>
      </w:r>
      <w:r>
        <w:t>, both endpoints reported for every cell; §7.2–§7.3 quantify the other convention.</w:t>
      </w:r>
    </w:p>
    <w:p>
      <w:r>
        <w:rPr>
          <w:b/>
        </w:rPr>
        <w:t>Tier 1: on the monitored split this positivity is near-definitional</w:t>
      </w:r>
      <w:r>
        <w:t xml:space="preserve"> (</w:t>
      </w:r>
      <w:r>
        <w:rPr>
          <w:rFonts w:ascii="Consolas" w:hAnsi="Consolas"/>
        </w:rPr>
        <w:t>best</w:t>
      </w:r>
      <w:r>
        <w:t xml:space="preserve"> is that curve's own argmax), so </w:t>
      </w:r>
      <w:r>
        <w:rPr>
          <w:b/>
        </w:rPr>
        <w:t>the finding we report is the paired arm difference and its test side (§8.6)</w:t>
      </w:r>
      <w:r>
        <w:t xml:space="preserve">: the selection premium is positive in all four cells, the baseline arm gaining more — consistent with the selection-bias literature, not new in kind. Pairing brings </w:t>
      </w:r>
      <w:r>
        <w:rPr>
          <w:b/>
        </w:rPr>
        <w:t>no</w:t>
      </w:r>
      <w:r>
        <w:t xml:space="preserve"> variance benefit: the paired t of 5.74 and the unpaired Welch t [25] of </w:t>
      </w:r>
      <w:r>
        <w:rPr>
          <w:b/>
        </w:rPr>
        <w:t>5.68</w:t>
      </w:r>
      <w:r>
        <w:t xml:space="preserve"> agree — at ρ = 0, </w:t>
      </w:r>
      <w:r>
        <w:rPr>
          <w:b/>
        </w:rPr>
        <w:t>standard arithmetic rather than an empirical finding of ours</w:t>
      </w:r>
      <w:r>
        <w:t xml:space="preserve"> [24]. </w:t>
      </w:r>
      <w:r>
        <w:rPr>
          <w:b/>
        </w:rPr>
        <w:t>Permutation checks</w:t>
      </w:r>
      <w:r>
        <w:t xml:space="preserve"> agree with the t-tests at each cell’s attainable floor (</w:t>
      </w:r>
      <w:r>
        <w:rPr>
          <w:b/>
        </w:rPr>
        <w:t>Supplementary S12</w:t>
      </w:r>
      <w:r>
        <w:t>).</w:t>
      </w:r>
    </w:p>
    <w:p>
      <w:r>
        <w:rPr>
          <w:b/>
        </w:rPr>
        <w:t>Meta-analyses of published results have long quantified this optimism</w:t>
      </w:r>
      <w:r>
        <w:t xml:space="preserve">: development-set early stopping is measured to </w:t>
      </w:r>
      <w:r>
        <w:rPr>
          <w:i/>
        </w:rPr>
        <w:t>overestimate realistic model performance</w:t>
      </w:r>
      <w:r>
        <w:t xml:space="preserve">, by as much as </w:t>
      </w:r>
      <w:r>
        <w:rPr>
          <w:b/>
        </w:rPr>
        <w:t>18.0 %</w:t>
      </w:r>
      <w:r>
        <w:t xml:space="preserve"> accuracy [26]; and a large Kaggle meta-analysis finds </w:t>
      </w:r>
      <w:r>
        <w:rPr>
          <w:i/>
        </w:rPr>
        <w:t>little evidence of substantial overfitting</w:t>
      </w:r>
      <w:r>
        <w:t xml:space="preserve"> [27] — complementary rather than contrary, since its mechanism is holdout </w:t>
      </w:r>
      <w:r>
        <w:rPr>
          <w:b/>
        </w:rPr>
        <w:t>reuse</w:t>
      </w:r>
      <w:r>
        <w:t xml:space="preserve"> and ours needs none.</w:t>
      </w:r>
    </w:p>
    <w:p>
      <w:r>
        <w:rPr>
          <w:b/>
        </w:rPr>
        <w:t>Metric sensitivity.</w:t>
      </w:r>
      <w:r>
        <w:t xml:space="preserve"> On </w:t>
      </w:r>
      <w:r>
        <w:rPr>
          <w:rFonts w:ascii="Consolas" w:hAnsi="Consolas"/>
        </w:rPr>
        <w:t>metrics/mAP50(B)</w:t>
      </w:r>
      <w:r>
        <w:t xml:space="preserve"> the mean direction holds in all four cells, but </w:t>
      </w:r>
      <w:r>
        <w:rPr>
          <w:rFonts w:ascii="Consolas" w:hAnsi="Consolas"/>
        </w:rPr>
        <w:t>smoke2sf</w:t>
      </w:r>
      <w:r>
        <w:t xml:space="preserve"> loses both its significance (</w:t>
      </w:r>
      <w:r>
        <w:rPr>
          <w:b/>
        </w:rPr>
        <w:t>+0.063 pp</w:t>
      </w:r>
      <w:r>
        <w:t>, p = 0.54) and its sign unanimity (</w:t>
      </w:r>
      <w:r>
        <w:rPr>
          <w:b/>
        </w:rPr>
        <w:t>6+/5−</w:t>
      </w:r>
      <w:r>
        <w:t xml:space="preserve">, not 11+/0−): </w:t>
      </w:r>
      <w:r>
        <w:rPr>
          <w:b/>
        </w:rPr>
        <w:t>the mean direction is metric-robust, one cell's significance and sign unanimity are not</w:t>
      </w:r>
      <w:r>
        <w:t xml:space="preserve"> (full mAP50 columns and both mAP75 columns — the mAP75 </w:t>
      </w:r>
      <w:r>
        <w:rPr>
          <w:rFonts w:ascii="Consolas" w:hAnsi="Consolas"/>
        </w:rPr>
        <w:t>val</w:t>
      </w:r>
      <w:r>
        <w:t xml:space="preserve"> side is a </w:t>
      </w:r>
      <w:r>
        <w:rPr>
          <w:b/>
        </w:rPr>
        <w:t>5-epoch grid</w:t>
      </w:r>
      <w:r>
        <w:t xml:space="preserve">, so a rate computed from it is </w:t>
      </w:r>
      <w:r>
        <w:rPr>
          <w:b/>
        </w:rPr>
        <w:t>upward-biased</w:t>
      </w:r>
      <w:r>
        <w:t xml:space="preserve"> — </w:t>
      </w:r>
      <w:r>
        <w:rPr>
          <w:b/>
        </w:rPr>
        <w:t>Supplementary S12</w:t>
      </w:r>
      <w:r>
        <w:t>).</w:t>
      </w:r>
    </w:p>
    <w:p>
      <w:r>
        <w:rPr>
          <w:b/>
        </w:rPr>
        <w:t>Table 1.</w:t>
      </w:r>
      <w:r>
        <w:t xml:space="preserve"> Tier 1 — each arm's </w:t>
      </w:r>
      <w:r>
        <w:rPr>
          <w:b/>
        </w:rPr>
        <w:t>peak−final gap</w:t>
      </w:r>
      <w:r>
        <w:t xml:space="preserve"> and the </w:t>
      </w:r>
      <w:r>
        <w:rPr>
          <w:b/>
        </w:rPr>
        <w:t>paired difference</w:t>
      </w:r>
      <w:r>
        <w:t xml:space="preserve"> between arms, by cell; the gap is a within-run maximum (§5.1), so the finding is the paired difference. </w:t>
      </w:r>
      <w:r>
        <w:rPr>
          <w:rFonts w:ascii="Consolas" w:hAnsi="Consolas"/>
        </w:rPr>
        <w:t>n</w:t>
      </w:r>
      <w:r>
        <w:t xml:space="preserve"> counts paired units (</w:t>
      </w:r>
      <w:r>
        <w:rPr>
          <w:b/>
        </w:rPr>
        <w:t>eleven</w:t>
      </w:r>
      <w:r>
        <w:t xml:space="preserve">: ten </w:t>
      </w:r>
      <w:r>
        <w:rPr>
          <w:rFonts w:ascii="Consolas" w:hAnsi="Consolas"/>
        </w:rPr>
        <w:t>--shuffle-seed</w:t>
      </w:r>
      <w:r>
        <w:t xml:space="preserve"> runs plus one unseeded — Supplementary S12); at n = 10 the two headline cells read </w:t>
      </w:r>
      <w:r>
        <w:rPr>
          <w:b/>
        </w:rPr>
        <w:t>+0.544</w:t>
      </w:r>
      <w:r>
        <w:t xml:space="preserve"> (</w:t>
      </w:r>
      <w:r>
        <w:rPr>
          <w:rFonts w:ascii="Consolas" w:hAnsi="Consolas"/>
        </w:rPr>
        <w:t>shwd2sf</w:t>
      </w:r>
      <w:r>
        <w:t xml:space="preserve">) and </w:t>
      </w:r>
      <w:r>
        <w:rPr>
          <w:b/>
        </w:rPr>
        <w:t>+0.397</w:t>
      </w:r>
      <w:r>
        <w:t xml:space="preserve"> (</w:t>
      </w:r>
      <w:r>
        <w:rPr>
          <w:rFonts w:ascii="Consolas" w:hAnsi="Consolas"/>
        </w:rPr>
        <w:t>smoke2sf</w:t>
      </w:r>
      <w:r>
        <w:t xml:space="preserve">), both 10+/0−, and both differences hold at n = 10 (Supplementary S12). </w:t>
      </w:r>
      <w:r>
        <w:rPr>
          <w:b/>
        </w:rPr>
        <w:t>A different run set from the transfer measurement in §8.6</w:t>
      </w:r>
      <w:r>
        <w:t xml:space="preserve"> — the two tables’ premiums are </w:t>
      </w:r>
      <w:r>
        <w:rPr>
          <w:b/>
        </w:rPr>
        <w:t>different quantities, not two readings of one</w:t>
      </w:r>
      <w:r>
        <w:t xml:space="preserve"> (which run set each uses: </w:t>
      </w:r>
      <w:r>
        <w:rPr>
          <w:b/>
        </w:rPr>
        <w:t>Supplementary S12</w:t>
      </w:r>
      <w:r>
        <w:t xml:space="preserve">). Source: </w:t>
      </w:r>
      <w:r>
        <w:rPr>
          <w:rFonts w:ascii="Consolas" w:hAnsi="Consolas"/>
        </w:rPr>
        <w:t>verify_two_critiques_20260916.txt</w:t>
      </w:r>
      <w:r>
        <w:t xml:space="preserve">; the </w:t>
      </w:r>
      <w:r>
        <w:rPr>
          <w:rFonts w:ascii="Consolas" w:hAnsi="Consolas"/>
        </w:rPr>
        <w:t>dota15</w:t>
      </w:r>
      <w:r>
        <w:t xml:space="preserve"> row's n = 10 escalation is in Table S28.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</w:tblGrid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Cell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n (paired units)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peak−final gap, base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peak−final gap, strat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**paired diff**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sd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t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p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perm. *p* (floor 2/2ⁿ)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95 % CI</w:t>
            </w:r>
          </w:p>
        </w:tc>
      </w:tr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smoke2sf (strong)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+0.799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+0.382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**+0.416**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0.240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5.74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1.9×10⁻⁴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0.00098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[+0.255, +0.578]</w:t>
            </w:r>
          </w:p>
        </w:tc>
      </w:tr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shwd2sf (corroborating)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+1.038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+0.512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**+0.526**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0.207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8.41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7.6×10⁻⁶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0.00098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[+0.386, +0.665]</w:t>
            </w:r>
          </w:p>
        </w:tc>
      </w:tr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a2d15 (directional probe)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+0.534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+0.262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**+0.272**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0.183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4.69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1.1×10⁻³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0.00391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[+0.141, +0.403]</w:t>
            </w:r>
          </w:p>
        </w:tc>
      </w:tr>
      <w:tr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dota15 (within-domain)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+0.941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+0.492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**+0.449**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0.196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7.23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4.9×10⁻⁵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0.00195</w:t>
            </w:r>
          </w:p>
        </w:tc>
        <w:tc>
          <w:tcPr>
            <w:tcW w:type="dxa" w:w="646"/>
          </w:tcPr>
          <w:p>
            <w:pPr>
              <w:spacing w:line="240" w:lineRule="auto"/>
            </w:pPr>
            <w:r>
              <w:rPr>
                <w:sz w:val="20"/>
              </w:rPr>
              <w:t>[+0.309, +0.589]</w:t>
            </w:r>
          </w:p>
        </w:tc>
      </w:tr>
    </w:tbl>
    <w:p>
      <w:r>
        <w:rPr>
          <w:b/>
        </w:rPr>
        <w:t>Table 2.</w:t>
      </w:r>
      <w:r>
        <w:t xml:space="preserve"> Tier 2 — the paired difference Δgap by corpus. Δgap &gt; 0 means </w:t>
      </w:r>
      <w:r>
        <w:rPr>
          <w:rFonts w:ascii="Consolas" w:hAnsi="Consolas"/>
        </w:rPr>
        <w:t>val</w:t>
      </w:r>
      <w:r>
        <w:t xml:space="preserve"> understates the strategy arm’s effect. </w:t>
      </w:r>
      <w:r>
        <w:rPr>
          <w:b/>
        </w:rPr>
        <w:t>Δgap is the split-gap arm difference</w:t>
      </w:r>
      <w:r>
        <w:t xml:space="preserve">, not the selection effect: it decomposes into a difficulty gap and a selection term, and </w:t>
      </w:r>
      <w:r>
        <w:rPr>
          <w:b/>
        </w:rPr>
        <w:t>Δgap’s sign is not the selection term’s sign</w:t>
      </w:r>
      <w:r>
        <w:t xml:space="preserve"> (</w:t>
      </w:r>
      <w:r>
        <w:rPr>
          <w:b/>
        </w:rPr>
        <w:t>Fig. S1</w:t>
      </w:r>
      <w:r>
        <w:t xml:space="preserve">). Equal split difficulty across arms is an </w:t>
      </w:r>
      <w:r>
        <w:rPr>
          <w:b/>
        </w:rPr>
        <w:t>assumption we state</w:t>
      </w:r>
      <w:r>
        <w:t xml:space="preserve">; the selection contribution is the </w:t>
      </w:r>
      <w:r>
        <w:rPr>
          <w:b/>
        </w:rPr>
        <w:t>selection-action contrast</w:t>
      </w:r>
      <w:r>
        <w:t xml:space="preserve"> </w:t>
      </w:r>
      <w:r>
        <w:rPr>
          <w:rFonts w:ascii="Consolas" w:hAnsi="Consolas"/>
        </w:rPr>
        <w:t>Δprem_val − Δprem_test</w:t>
      </w:r>
      <w:r>
        <w:t xml:space="preserve">. </w:t>
      </w:r>
      <w:r>
        <w:rPr>
          <w:b/>
        </w:rPr>
        <w:t>`Reading` names Δgap’s sign, not the selection term’s</w:t>
      </w:r>
      <w:r>
        <w:t xml:space="preserve"> (</w:t>
      </w:r>
      <w:r>
        <w:rPr>
          <w:rFonts w:ascii="Consolas" w:hAnsi="Consolas"/>
        </w:rPr>
        <w:t>smoke2sf</w:t>
      </w:r>
      <w:r>
        <w:t xml:space="preserve">: Δgap </w:t>
      </w:r>
      <w:r>
        <w:rPr>
          <w:b/>
        </w:rPr>
        <w:t>+0.461</w:t>
      </w:r>
      <w:r>
        <w:t xml:space="preserve">, selection </w:t>
      </w:r>
      <w:r>
        <w:rPr>
          <w:b/>
        </w:rPr>
        <w:t>−0.580</w:t>
      </w:r>
      <w:r>
        <w:t xml:space="preserve">). Sources: </w:t>
      </w:r>
      <w:r>
        <w:rPr>
          <w:rFonts w:ascii="Consolas" w:hAnsi="Consolas"/>
        </w:rPr>
        <w:t>xeval_analysis_20260916.txt</w:t>
      </w:r>
      <w:r>
        <w:t xml:space="preserve"> (the two </w:t>
      </w:r>
      <w:r>
        <w:rPr>
          <w:rFonts w:ascii="Consolas" w:hAnsi="Consolas"/>
        </w:rPr>
        <w:t>val</w:t>
      </w:r>
      <w:r>
        <w:t xml:space="preserve">-understating cells) and </w:t>
      </w:r>
      <w:r>
        <w:rPr>
          <w:rFonts w:ascii="Consolas" w:hAnsi="Consolas"/>
        </w:rPr>
        <w:t>x1_tier*</w:t>
      </w:r>
      <w:r>
        <w:t xml:space="preserve"> / </w:t>
      </w:r>
      <w:r>
        <w:rPr>
          <w:rFonts w:ascii="Consolas" w:hAnsi="Consolas"/>
        </w:rPr>
        <w:t>teval.csv</w:t>
      </w:r>
      <w:r>
        <w:t xml:space="preserve"> (the two </w:t>
      </w:r>
      <w:r>
        <w:rPr>
          <w:rFonts w:ascii="Consolas" w:hAnsi="Consolas"/>
        </w:rPr>
        <w:t>val</w:t>
      </w:r>
      <w:r>
        <w:t>-overstating cells).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Corpus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n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Δgap (pp)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p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95 % CI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Reading (**Δgap's sign**)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shwd2sf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**+0.779**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0.0053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[+0.297, +1.261]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`val` **understates**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smoke2sf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**+0.461**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0.0263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[+0.068, +0.855]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`val` **understates**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p_aitovis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**−1.226**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1.3×10⁻⁸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[−1.370, −1.081]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`val` **overstates**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p_vistod15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**−3.315**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6.5×10⁻⁹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[−3.676, −2.953]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`val` **overstates**</w:t>
            </w:r>
          </w:p>
        </w:tc>
      </w:tr>
    </w:tbl>
    <w:p>
      <w:r>
        <w:t xml:space="preserve">&gt; </w:t>
      </w:r>
      <w:r>
        <w:rPr>
          <w:b/>
        </w:rPr>
        <w:t>The split of Δgap is recorded for two of the four cells</w:t>
      </w:r>
      <w:r>
        <w:t xml:space="preserve">: difficulty </w:t>
      </w:r>
      <w:r>
        <w:rPr>
          <w:b/>
        </w:rPr>
        <w:t>+0.759</w:t>
      </w:r>
      <w:r>
        <w:t xml:space="preserve"> / selection </w:t>
      </w:r>
      <w:r>
        <w:rPr>
          <w:b/>
        </w:rPr>
        <w:t>+0.020</w:t>
      </w:r>
      <w:r>
        <w:t xml:space="preserve"> (</w:t>
      </w:r>
      <w:r>
        <w:rPr>
          <w:rFonts w:ascii="Consolas" w:hAnsi="Consolas"/>
        </w:rPr>
        <w:t>shwd2sf</w:t>
      </w:r>
      <w:r>
        <w:t xml:space="preserve">), and difficulty </w:t>
      </w:r>
      <w:r>
        <w:rPr>
          <w:b/>
        </w:rPr>
        <w:t>+1.041</w:t>
      </w:r>
      <w:r>
        <w:t xml:space="preserve"> / selection </w:t>
      </w:r>
      <w:r>
        <w:rPr>
          <w:b/>
        </w:rPr>
        <w:t>−0.580</w:t>
      </w:r>
      <w:r>
        <w:t xml:space="preserve"> (</w:t>
      </w:r>
      <w:r>
        <w:rPr>
          <w:rFonts w:ascii="Consolas" w:hAnsi="Consolas"/>
        </w:rPr>
        <w:t>smoke2sf</w:t>
      </w:r>
      <w:r>
        <w:t xml:space="preserve">) — in the second the selection term is </w:t>
      </w:r>
      <w:r>
        <w:rPr>
          <w:b/>
        </w:rPr>
        <w:t>opposite in sign to Δgap</w:t>
      </w:r>
      <w:r>
        <w:t xml:space="preserve">, so the sign does not carry it, and </w:t>
      </w:r>
      <w:r>
        <w:rPr>
          <w:b/>
        </w:rPr>
        <w:t>both intervals include zero</w:t>
      </w:r>
      <w:r>
        <w:t xml:space="preserve"> (</w:t>
      </w:r>
      <w:r>
        <w:rPr>
          <w:b/>
        </w:rPr>
        <w:t>Supplementary S9</w:t>
      </w:r>
      <w:r>
        <w:t xml:space="preserve">, Fig. S1). The two </w:t>
      </w:r>
      <w:r>
        <w:rPr>
          <w:rFonts w:ascii="Consolas" w:hAnsi="Consolas"/>
        </w:rPr>
        <w:t>p_</w:t>
      </w:r>
      <w:r>
        <w:t xml:space="preserve"> cells' </w:t>
      </w:r>
      <w:r>
        <w:rPr>
          <w:rFonts w:ascii="Consolas" w:hAnsi="Consolas"/>
        </w:rPr>
        <w:t>prem_test</w:t>
      </w:r>
      <w:r>
        <w:t xml:space="preserve"> was </w:t>
      </w:r>
      <w:r>
        <w:rPr>
          <w:b/>
        </w:rPr>
        <w:t>not recorded at that time</w:t>
      </w:r>
      <w:r>
        <w:t xml:space="preserve">: their per-epoch </w:t>
      </w:r>
      <w:r>
        <w:rPr>
          <w:rFonts w:ascii="Consolas" w:hAnsi="Consolas"/>
        </w:rPr>
        <w:t>test</w:t>
      </w:r>
      <w:r>
        <w:t xml:space="preserve"> curves were evaluated on 2026-09-30, so nothing is imputed and the values are now recorded (</w:t>
      </w:r>
      <w:r>
        <w:rPr>
          <w:b/>
        </w:rPr>
        <w:t>Supplementary S12</w:t>
      </w:r>
      <w:r>
        <w:t>, Table S38).</w:t>
      </w:r>
    </w:p>
    <w:p>
      <w:r>
        <w:t>&gt;</w:t>
      </w:r>
    </w:p>
    <w:p>
      <w:r>
        <w:t xml:space="preserve">&gt; </w:t>
      </w:r>
      <w:r>
        <w:rPr>
          <w:b/>
        </w:rPr>
        <w:t>The four rows below are an escalated base, not a sample</w:t>
      </w:r>
      <w:r>
        <w:t xml:space="preserve">: the two </w:t>
      </w:r>
      <w:r>
        <w:rPr>
          <w:rFonts w:ascii="Consolas" w:hAnsi="Consolas"/>
        </w:rPr>
        <w:t>p_</w:t>
      </w:r>
      <w:r>
        <w:t xml:space="preserve"> cells reached n = 10 because their n = 3 Δgap had been flagged, so the 2/2 balance is a property of the escalation rule; the other nine cells are </w:t>
      </w:r>
      <w:r>
        <w:rPr>
          <w:b/>
        </w:rPr>
        <w:t>descriptive</w:t>
      </w:r>
      <w:r>
        <w:t xml:space="preserve"> (</w:t>
      </w:r>
      <w:r>
        <w:rPr>
          <w:b/>
        </w:rPr>
        <w:t>Supplementary S12</w:t>
      </w:r>
      <w:r>
        <w:t xml:space="preserve">). This cell is also the one where </w:t>
      </w:r>
      <w:r>
        <w:rPr>
          <w:b/>
        </w:rPr>
        <w:t>3 runs</w:t>
      </w:r>
      <w:r>
        <w:t xml:space="preserve"> changed training path silently under GPU memory pressure, and why we do not call it clean is in </w:t>
      </w:r>
      <w:r>
        <w:rPr>
          <w:b/>
        </w:rPr>
        <w:t>§10, defect 10</w:t>
      </w:r>
      <w:r>
        <w:t>.</w:t>
      </w:r>
    </w:p>
    <w:p>
      <w:r>
        <w:rPr>
          <w:i/>
        </w:rPr>
        <w:t>(Third §5 table, S5 → Supplementary §S8.)</w:t>
      </w:r>
    </w:p>
    <w:p>
      <w:r>
        <w:rPr>
          <w:b/>
        </w:rPr>
        <w:t>Tier 2: on the same three-way corpora the paired difference Δgap varies in sign.</w:t>
      </w:r>
      <w:r>
        <w:t xml:space="preserve"> The raw </w:t>
      </w:r>
      <w:r>
        <w:rPr>
          <w:rFonts w:ascii="Consolas" w:hAnsi="Consolas"/>
        </w:rPr>
        <w:t>M_val(ê) − M_test(ê)</w:t>
      </w:r>
      <w:r>
        <w:t xml:space="preserve"> is </w:t>
      </w:r>
      <w:r>
        <w:rPr>
          <w:b/>
        </w:rPr>
        <w:t>not identifiable</w:t>
      </w:r>
      <w:r>
        <w:t xml:space="preserve">; the paired difference removes the difficulty term </w:t>
      </w:r>
      <w:r>
        <w:rPr>
          <w:b/>
        </w:rPr>
        <w:t>under the equal-difficulty assumption</w:t>
      </w:r>
      <w:r>
        <w:t xml:space="preserve"> (Table 2) —</w:t>
      </w:r>
    </w:p>
    <w:p>
      <w:r>
        <w:rPr>
          <w:b/>
        </w:rPr>
        <w:t>Δgap &gt; 0 ⇒ `val` understates</w:t>
      </w:r>
      <w:r>
        <w:t xml:space="preserve">. </w:t>
      </w:r>
      <w:r>
        <w:rPr>
          <w:b/>
        </w:rPr>
        <w:t>Its effective base is four cells, not thirteen</w:t>
      </w:r>
      <w:r>
        <w:t xml:space="preserve">, and an </w:t>
      </w:r>
      <w:r>
        <w:rPr>
          <w:b/>
        </w:rPr>
        <w:t>escalated base</w:t>
      </w:r>
      <w:r>
        <w:t xml:space="preserve"> rather than a random sample, for the reason </w:t>
      </w:r>
      <w:r>
        <w:rPr>
          <w:b/>
        </w:rPr>
        <w:t>Table 2's note</w:t>
      </w:r>
      <w:r>
        <w:t xml:space="preserve"> gives; </w:t>
      </w:r>
      <w:r>
        <w:rPr>
          <w:b/>
        </w:rPr>
        <w:t>“2 understate / 2 overstate” is therefore a statement about these four cells, not a rate for the family</w:t>
      </w:r>
      <w:r>
        <w:t xml:space="preserve">. </w:t>
      </w:r>
      <w:r>
        <w:rPr>
          <w:b/>
        </w:rPr>
        <w:t>No prospective power analysis was registered</w:t>
      </w:r>
      <w:r>
        <w:t xml:space="preserve">; the scan is in </w:t>
      </w:r>
      <w:r>
        <w:rPr>
          <w:b/>
        </w:rPr>
        <w:t>Supplementary S12</w:t>
      </w:r>
      <w:r>
        <w:t>.</w:t>
      </w:r>
    </w:p>
    <w:p>
      <w:r>
        <w:rPr>
          <w:b/>
        </w:rPr>
        <w:t>Both escalations met the criteria fixed in advance.</w:t>
      </w:r>
      <w:r>
        <w:t xml:space="preserve"> </w:t>
      </w:r>
      <w:r>
        <w:rPr>
          <w:rFonts w:ascii="Consolas" w:hAnsi="Consolas"/>
        </w:rPr>
        <w:t>dota15</w:t>
      </w:r>
      <w:r>
        <w:t xml:space="preserve"> </w:t>
      </w:r>
      <w:r>
        <w:rPr>
          <w:b/>
        </w:rPr>
        <w:t>+0.449 pp</w:t>
      </w:r>
      <w:r>
        <w:t xml:space="preserve"> (</w:t>
      </w:r>
      <w:r>
        <w:rPr>
          <w:b/>
        </w:rPr>
        <w:t>10+/0−</w:t>
      </w:r>
      <w:r>
        <w:t xml:space="preserve">); </w:t>
      </w:r>
      <w:r>
        <w:rPr>
          <w:rFonts w:ascii="Consolas" w:hAnsi="Consolas"/>
        </w:rPr>
        <w:t>p_aitovis</w:t>
      </w:r>
      <w:r>
        <w:t xml:space="preserve"> </w:t>
      </w:r>
      <w:r>
        <w:rPr>
          <w:b/>
        </w:rPr>
        <w:t>−1.226 pp</w:t>
      </w:r>
      <w:r>
        <w:t xml:space="preserve"> and </w:t>
      </w:r>
      <w:r>
        <w:rPr>
          <w:rFonts w:ascii="Consolas" w:hAnsi="Consolas"/>
        </w:rPr>
        <w:t>p_vistod15</w:t>
      </w:r>
      <w:r>
        <w:t xml:space="preserve"> </w:t>
      </w:r>
      <w:r>
        <w:rPr>
          <w:b/>
        </w:rPr>
        <w:t>−3.315 pp</w:t>
      </w:r>
      <w:r>
        <w:t xml:space="preserve"> (</w:t>
      </w:r>
      <w:r>
        <w:rPr>
          <w:b/>
        </w:rPr>
        <w:t>0+/10−</w:t>
      </w:r>
      <w:r>
        <w:t xml:space="preserve">), permutation p = </w:t>
      </w:r>
      <w:r>
        <w:rPr>
          <w:b/>
        </w:rPr>
        <w:t>0.001953</w:t>
      </w:r>
      <w:r>
        <w:t xml:space="preserve">, the attainable floor at n = 10. The </w:t>
      </w:r>
      <w:r>
        <w:rPr>
          <w:rFonts w:ascii="Consolas" w:hAnsi="Consolas"/>
        </w:rPr>
        <w:t>best.pt</w:t>
      </w:r>
      <w:r>
        <w:t xml:space="preserve"> endpoint was identified, not assumed: on </w:t>
      </w:r>
      <w:r>
        <w:rPr>
          <w:rFonts w:ascii="Consolas" w:hAnsi="Consolas"/>
        </w:rPr>
        <w:t>test</w:t>
      </w:r>
      <w:r>
        <w:t xml:space="preserve"> it reproduces the archived </w:t>
      </w:r>
      <w:r>
        <w:rPr>
          <w:rFonts w:ascii="Consolas" w:hAnsi="Consolas"/>
        </w:rPr>
        <w:t>sio_b_results.csv</w:t>
      </w:r>
      <w:r>
        <w:t xml:space="preserve"> to </w:t>
      </w:r>
      <w:r>
        <w:rPr>
          <w:b/>
        </w:rPr>
        <w:t>0.0046 pp</w:t>
      </w:r>
      <w:r>
        <w:t>.</w:t>
      </w:r>
    </w:p>
    <w:p>
      <w:r>
        <w:rPr>
          <w:b/>
        </w:rPr>
        <w:t>The formal claim:</w:t>
      </w:r>
      <w:r>
        <w:t xml:space="preserve"> the convention systematically shifts </w:t>
      </w:r>
      <w:r>
        <w:rPr>
          <w:b/>
        </w:rPr>
        <w:t>arm-to-arm comparisons</w:t>
      </w:r>
      <w:r>
        <w:t xml:space="preserve"> (Tier 1: four cells, CIs excluding zero); </w:t>
      </w:r>
      <w:r>
        <w:rPr>
          <w:b/>
        </w:rPr>
        <w:t>the direction of that shift varies by corpus</w:t>
      </w:r>
      <w:r>
        <w:t xml:space="preserve"> (Tier 2: 2 understate / 2 overstate on the four-cell base) — </w:t>
      </w:r>
      <w:r>
        <w:rPr>
          <w:b/>
        </w:rPr>
        <w:t>neither "a general understatement" nor "no systematic direction"</w:t>
      </w:r>
      <w:r>
        <w:t xml:space="preserve">. BH at q = 0.05 </w:t>
      </w:r>
      <w:r>
        <w:rPr>
          <w:b/>
        </w:rPr>
        <w:t>now leaves three cells significant</w:t>
      </w:r>
      <w:r>
        <w:t xml:space="preserve"> — </w:t>
      </w:r>
      <w:r>
        <w:rPr>
          <w:rFonts w:ascii="Consolas" w:hAnsi="Consolas"/>
        </w:rPr>
        <w:t>p_vistod15</w:t>
      </w:r>
      <w:r>
        <w:t xml:space="preserve">, </w:t>
      </w:r>
      <w:r>
        <w:rPr>
          <w:rFonts w:ascii="Consolas" w:hAnsi="Consolas"/>
        </w:rPr>
        <w:t>p_aitovis</w:t>
      </w:r>
      <w:r>
        <w:t xml:space="preserve">, </w:t>
      </w:r>
      <w:r>
        <w:rPr>
          <w:rFonts w:ascii="Consolas" w:hAnsi="Consolas"/>
        </w:rPr>
        <w:t>shwd2sf</w:t>
      </w:r>
      <w:r>
        <w:t xml:space="preserve"> [28], </w:t>
      </w:r>
      <w:r>
        <w:rPr>
          <w:b/>
        </w:rPr>
        <w:t>reversing what we reported before the escalation</w:t>
      </w:r>
      <w:r>
        <w:t xml:space="preserve">. </w:t>
      </w:r>
      <w:r>
        <w:rPr>
          <w:b/>
        </w:rPr>
        <w:t>The two families are not the same test</w:t>
      </w:r>
      <w:r>
        <w:t xml:space="preserve">: the </w:t>
      </w:r>
      <w:r>
        <w:rPr>
          <w:b/>
        </w:rPr>
        <w:t>13-cell scan is descriptive</w:t>
      </w:r>
      <w:r>
        <w:t xml:space="preserve">, the </w:t>
      </w:r>
      <w:r>
        <w:rPr>
          <w:b/>
        </w:rPr>
        <w:t>confirmatory family is the four escalated cells</w:t>
      </w:r>
      <w:r>
        <w:t xml:space="preserve"> (declared before their runs, §3.2) — the direction statement rests on those four.</w:t>
      </w:r>
    </w:p>
    <w:p>
      <w:r>
        <w:rPr>
          <w:b/>
        </w:rPr>
        <w:t>Scope (cross-framework boundary).</w:t>
      </w:r>
      <w:r>
        <w:t xml:space="preserve"> The convention this paper audits belongs to the </w:t>
      </w:r>
      <w:r>
        <w:rPr>
          <w:b/>
        </w:rPr>
        <w:t>YOLO lineage — Ultralytics YOLO [16] and YOLOX [29]</w:t>
      </w:r>
      <w:r>
        <w:t>: at pinned commits, Detectron2 (</w:t>
      </w:r>
      <w:r>
        <w:rPr>
          <w:rFonts w:ascii="Consolas" w:hAnsi="Consolas"/>
        </w:rPr>
        <w:t>TEST.EVAL_PERIOD = 0</w:t>
      </w:r>
      <w:r>
        <w:t xml:space="preserve">) [30], MMDetection [31], DETR [32] and PaddleDetection [33] </w:t>
      </w:r>
      <w:r>
        <w:rPr>
          <w:b/>
        </w:rPr>
        <w:t>report the final epoch instead</w:t>
      </w:r>
      <w:r>
        <w:t xml:space="preserve"> (§6.5) — that pipeline family's convention, </w:t>
      </w:r>
      <w:r>
        <w:rPr>
          <w:b/>
        </w:rPr>
        <w:t>not the field's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5.2 Two versions must be disclosed side by side</w:t>
      </w:r>
    </w:p>
    <w:p>
      <w:r>
        <w:rPr>
          <w:b/>
        </w:rPr>
        <w:t>Two archives, two versions of this table.</w:t>
      </w:r>
      <w:r>
        <w:t xml:space="preserve"> The main text uses the </w:t>
      </w:r>
      <w:r>
        <w:rPr>
          <w:b/>
        </w:rPr>
        <w:t>local archive</w:t>
      </w:r>
      <w:r>
        <w:t xml:space="preserve"> (569 runs, n = 11); the pod root (347 runs, n = 10) is a </w:t>
      </w:r>
      <w:r>
        <w:rPr>
          <w:b/>
        </w:rPr>
        <w:t>Supplementary S12</w:t>
      </w:r>
      <w:r>
        <w:t xml:space="preserve"> cross-check agreeing in sign and magnitude, not in value.</w:t>
      </w:r>
    </w:p>
    <w:p>
      <w:pPr>
        <w:pStyle w:val="Heading3"/>
      </w:pPr>
      <w:r>
        <w:rPr>
          <w:rFonts w:ascii="Times New Roman" w:hAnsi="Times New Roman"/>
        </w:rPr>
        <w:t>5.3 The dota15 cell: now reproducible, and one wording defect exposed</w:t>
      </w:r>
    </w:p>
    <w:p>
      <w:r>
        <w:rPr>
          <w:b/>
        </w:rPr>
        <w:t>This cell was not reproducible from the release as first written, and the repair exposed a wording defect</w:t>
      </w:r>
      <w:r>
        <w:t xml:space="preserve"> (both disclosed, §10 row 2). The repair, the value-by-value agreement and the defect are recorded in </w:t>
      </w:r>
      <w:r>
        <w:rPr>
          <w:b/>
        </w:rPr>
        <w:t>Supplementary S12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5.4 Two external critiques, checked (one refuted, one judged non-identifiable)</w:t>
      </w:r>
    </w:p>
    <w:p>
      <w:r>
        <w:rPr>
          <w:b/>
        </w:rPr>
        <w:t>Supplementary S12</w:t>
      </w:r>
      <w:r>
        <w:t xml:space="preserve"> carries the two external critiques in full. </w:t>
      </w:r>
      <w:r>
        <w:rPr>
          <w:b/>
        </w:rPr>
        <w:t>We used to write</w:t>
      </w:r>
      <w:r>
        <w:t xml:space="preserve"> that the gap was simply unidentifiable; the external check </w:t>
      </w:r>
      <w:r>
        <w:rPr>
          <w:b/>
        </w:rPr>
        <w:t>corrects this to</w:t>
      </w:r>
      <w:r>
        <w:t xml:space="preserve"> the paired-difference form, which cancels the difficulty term under the pairing assumption stated in </w:t>
      </w:r>
      <w:r>
        <w:rPr>
          <w:b/>
        </w:rPr>
        <w:t>§S11</w:t>
      </w:r>
      <w:r>
        <w:t>. The argument and the recomputation are in</w:t>
      </w:r>
    </w:p>
    <w:p>
      <w:r>
        <w:rPr>
          <w:b/>
        </w:rPr>
        <w:t>Supplementary S12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5.5 The same component in third-party public logs</w:t>
      </w:r>
    </w:p>
    <w:p>
      <w:r>
        <w:rPr>
          <w:b/>
        </w:rPr>
        <w:t>The same quantity appears in other people's logs</w:t>
      </w:r>
      <w:r>
        <w:t xml:space="preserve"> — </w:t>
      </w:r>
      <w:r>
        <w:rPr>
          <w:b/>
        </w:rPr>
        <w:t>a convenience sample with no sampling frame, not a field-level rate</w:t>
      </w:r>
      <w:r>
        <w:t xml:space="preserve">: 20 logs from 6 sources found by repository </w:t>
      </w:r>
      <w:r>
        <w:rPr>
          <w:b/>
        </w:rPr>
        <w:t>search</w:t>
      </w:r>
      <w:r>
        <w:t xml:space="preserve">, median </w:t>
      </w:r>
      <w:r>
        <w:rPr>
          <w:b/>
        </w:rPr>
        <w:t>+1.04 pp</w:t>
      </w:r>
      <w:r>
        <w:t xml:space="preserve">, max </w:t>
      </w:r>
      <w:r>
        <w:rPr>
          <w:b/>
        </w:rPr>
        <w:t>+5.65 pp</w:t>
      </w:r>
      <w:r>
        <w:t xml:space="preserve">. </w:t>
      </w:r>
      <w:r>
        <w:rPr>
          <w:b/>
        </w:rPr>
        <w:t>The sign is not the informative part</w:t>
      </w:r>
      <w:r>
        <w:t xml:space="preserve">: the premium is a within-run maximum minus that run's own final epoch, so it is </w:t>
      </w:r>
      <w:r>
        <w:rPr>
          <w:b/>
        </w:rPr>
        <w:t>non-negative by construction</w:t>
      </w:r>
      <w:r>
        <w:t xml:space="preserve">, and the sample's content is its </w:t>
      </w:r>
      <w:r>
        <w:rPr>
          <w:b/>
        </w:rPr>
        <w:t>magnitude</w:t>
      </w:r>
      <w:r>
        <w:t xml:space="preserve">. The queries, the rest of the frame and the reason public logs </w:t>
      </w:r>
      <w:r>
        <w:rPr>
          <w:b/>
        </w:rPr>
        <w:t>cannot establish aliasing</w:t>
      </w:r>
      <w:r>
        <w:t xml:space="preserve"> are in </w:t>
      </w:r>
      <w:r>
        <w:rPr>
          <w:b/>
        </w:rPr>
        <w:t>Supplementary S12</w:t>
      </w:r>
      <w:r>
        <w:t>.</w:t>
      </w:r>
    </w:p>
    <w:p>
      <w:r>
        <w:rPr>
          <w:b/>
        </w:rPr>
        <w:t>Five limitations</w:t>
      </w:r>
      <w:r>
        <w:t xml:space="preserve">: ① the two cells escalated in §5.1 reach n = 10 with </w:t>
      </w:r>
      <w:r>
        <w:rPr>
          <w:b/>
        </w:rPr>
        <w:t>local</w:t>
      </w:r>
      <w:r>
        <w:t xml:space="preserve"> runs and test-side evaluations, and the remaining 9 cells' </w:t>
      </w:r>
      <w:r>
        <w:rPr>
          <w:rFonts w:ascii="Consolas" w:hAnsi="Consolas"/>
        </w:rPr>
        <w:t>test</w:t>
      </w:r>
      <w:r>
        <w:t xml:space="preserve"> side was closed on 2026-09-30 on one machine; ② </w:t>
      </w:r>
      <w:r>
        <w:rPr>
          <w:rFonts w:ascii="Consolas" w:hAnsi="Consolas"/>
        </w:rPr>
        <w:t>prem_test</w:t>
      </w:r>
      <w:r>
        <w:t xml:space="preserve"> is </w:t>
      </w:r>
      <w:r>
        <w:rPr>
          <w:b/>
        </w:rPr>
        <w:t>best − last</w:t>
      </w:r>
      <w:r>
        <w:t xml:space="preserve">, while the per-epoch </w:t>
      </w:r>
      <w:r>
        <w:rPr>
          <w:rFonts w:ascii="Consolas" w:hAnsi="Consolas"/>
        </w:rPr>
        <w:t>test</w:t>
      </w:r>
      <w:r>
        <w:t xml:space="preserve"> curve now exists for </w:t>
      </w:r>
      <w:r>
        <w:rPr>
          <w:b/>
        </w:rPr>
        <w:t>all thirteen</w:t>
      </w:r>
      <w:r>
        <w:t xml:space="preserve"> corpora (</w:t>
      </w:r>
      <w:r>
        <w:rPr>
          <w:b/>
        </w:rPr>
        <w:t>Supplementary S12</w:t>
      </w:r>
      <w:r>
        <w:t xml:space="preserve">, Table S38); ③ </w:t>
      </w:r>
      <w:r>
        <w:rPr>
          <w:rFonts w:ascii="Consolas" w:hAnsi="Consolas"/>
        </w:rPr>
        <w:t>last.pt</w:t>
      </w:r>
      <w:r>
        <w:t xml:space="preserve">'s val recomputation differs from the final </w:t>
      </w:r>
      <w:r>
        <w:rPr>
          <w:rFonts w:ascii="Consolas" w:hAnsi="Consolas"/>
        </w:rPr>
        <w:t>results.csv</w:t>
      </w:r>
      <w:r>
        <w:t xml:space="preserve"> row by ~0.02 pp; ④ this section does </w:t>
      </w:r>
      <w:r>
        <w:rPr>
          <w:b/>
        </w:rPr>
        <w:t>not</w:t>
      </w:r>
      <w:r>
        <w:t xml:space="preserve"> touch §6's 19-benchmark census; ⑤ the aggregate is a </w:t>
      </w:r>
      <w:r>
        <w:rPr>
          <w:b/>
        </w:rPr>
        <w:t>ratio of small means</w:t>
      </w:r>
      <w:r>
        <w:t xml:space="preserve"> — </w:t>
      </w:r>
      <w:r>
        <w:rPr>
          <w:rFonts w:ascii="Consolas" w:hAnsi="Consolas"/>
        </w:rPr>
        <w:t>prem_val</w:t>
      </w:r>
      <w:r>
        <w:t xml:space="preserve"> spans </w:t>
      </w:r>
      <w:r>
        <w:rPr>
          <w:b/>
        </w:rPr>
        <w:t>+0.605 to +1.469 pp</w:t>
      </w:r>
      <w:r>
        <w:t xml:space="preserve"> across the five arm-cells (Table S20) — so a change of a few hundredths of a point in the numerator moves the rate by tens of points.</w:t>
      </w:r>
    </w:p>
    <w:p>
      <w:pPr>
        <w:pStyle w:val="Heading3"/>
      </w:pPr>
      <w:r>
        <w:rPr>
          <w:rFonts w:ascii="Times New Roman" w:hAnsi="Times New Roman"/>
        </w:rPr>
        <w:t>5.6 Why Δgap's sign varies by corpus: three of five candidate mechanisms are refuted by the data</w:t>
      </w:r>
    </w:p>
    <w:p>
      <w:r>
        <w:rPr>
          <w:b/>
        </w:rPr>
        <w:t>Three of five candidate mechanisms are refuted, and the mechanism itself is not identifiable</w:t>
      </w:r>
      <w:r>
        <w:t xml:space="preserve"> — the sign of Δgap is a sum of same-order terms, so no single mechanism can be read off it (§S11, Remark 3) — </w:t>
      </w:r>
      <w:r>
        <w:rPr>
          <w:b/>
        </w:rPr>
        <w:t>but the paired quantity is, and is what we report.</w:t>
      </w:r>
      <w:r>
        <w:t xml:space="preserve"> The examination, the per-cell components and the exact identity are in </w:t>
      </w:r>
      <w:r>
        <w:rPr>
          <w:b/>
        </w:rPr>
        <w:t>Supplementary S12</w:t>
      </w:r>
      <w:r>
        <w:t xml:space="preserve"> and Table S8–S10.</w:t>
      </w:r>
    </w:p>
    <w:p>
      <w:pPr>
        <w:pStyle w:val="Heading2"/>
      </w:pPr>
      <w:r>
        <w:rPr>
          <w:rFonts w:ascii="Times New Roman" w:hAnsi="Times New Roman"/>
        </w:rPr>
        <w:t>6. Finding 3: how general this is across public benchmarks</w:t>
      </w:r>
    </w:p>
    <w:p>
      <w:r>
        <w:rPr>
          <w:b/>
        </w:rPr>
        <w:t>Evidence</w:t>
      </w:r>
      <w:r>
        <w:t xml:space="preserve">: </w:t>
      </w:r>
      <w:r>
        <w:rPr>
          <w:rFonts w:ascii="Consolas" w:hAnsi="Consolas"/>
        </w:rPr>
        <w:t>benchmark_split_audit.md</w:t>
      </w:r>
      <w:r>
        <w:t xml:space="preserve">, a line-by-line audit of 19 benchmark rows, plus </w:t>
      </w:r>
      <w:r>
        <w:rPr>
          <w:rFonts w:ascii="Consolas" w:hAnsi="Consolas"/>
        </w:rPr>
        <w:t>split_units_19rows_20260916.md</w:t>
      </w:r>
      <w:r>
        <w:t xml:space="preserve"> (recomputation script; no hard-coded percentages).</w:t>
      </w:r>
    </w:p>
    <w:p>
      <w:r>
        <w:rPr>
          <w:b/>
        </w:rPr>
        <w:t>The nineteen audited benchmarks</w:t>
      </w:r>
      <w:r>
        <w:t>, each read from its own release or dataset paper: COCO [34], PASCAL VOC [21], Objects365 [35], Open Images v7 [36], DOTA v1.0 and v2.0 [37], VisDrone-DET [38], AI-TOD [39], UAVDT [40], xView [41], DIOR [42], NWPU VHR-10 [43], SHWD [44], SFCHD [45], MAFA [46], Mendeley face-mask [22], WIDER FACE [47], CrowdHuman [48] and D-Fire [49] (</w:t>
      </w:r>
      <w:r>
        <w:rPr>
          <w:b/>
        </w:rPr>
        <w:t>per-unit markings</w:t>
      </w:r>
      <w:r>
        <w:t xml:space="preserve">: Supplementary S1) — </w:t>
      </w:r>
      <w:r>
        <w:rPr>
          <w:b/>
        </w:rPr>
        <w:t>the configurations this archive could read, not a sample of the field.</w:t>
      </w:r>
      <w:r>
        <w:t xml:space="preserve"> The question is </w:t>
      </w:r>
      <w:r>
        <w:rPr>
          <w:b/>
        </w:rPr>
        <w:t>evaluation validity</w:t>
      </w:r>
      <w:r>
        <w:t>: dataset-level bias auditing [50] and classifier-accuracy estimation [51] ask whether a reported number measures what it is taken to measure, but neither audits a release's configuration binding.</w:t>
      </w:r>
    </w:p>
    <w:p>
      <w:pPr>
        <w:pStyle w:val="Heading3"/>
      </w:pPr>
      <w:r>
        <w:rPr>
          <w:rFonts w:ascii="Times New Roman" w:hAnsi="Times New Roman"/>
        </w:rPr>
        <w:t>6.1 The result under four units (single-rater judgements)</w:t>
      </w:r>
    </w:p>
    <w:p>
      <w:r>
        <w:drawing>
          <wp:inline xmlns:a="http://schemas.openxmlformats.org/drawingml/2006/main" xmlns:pic="http://schemas.openxmlformats.org/drawingml/2006/picture">
            <wp:extent cx="3096000" cy="164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ur_un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6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1.</w:t>
      </w:r>
      <w:r>
        <w:t xml:space="preserve"> The four counting units on the same nineteen benchmarks — the </w:t>
      </w:r>
      <w:r>
        <w:rPr>
          <w:b/>
        </w:rPr>
        <w:t>printed single-rater</w:t>
      </w:r>
      <w:r>
        <w:t xml:space="preserve"> counts (10/19 </w:t>
      </w:r>
      <w:r>
        <w:rPr>
          <w:rFonts w:ascii="Consolas" w:hAnsi="Consolas"/>
        </w:rPr>
        <w:t>release</w:t>
      </w:r>
      <w:r>
        <w:t xml:space="preserve">, 13/19 </w:t>
      </w:r>
      <w:r>
        <w:rPr>
          <w:rFonts w:ascii="Consolas" w:hAnsi="Consolas"/>
        </w:rPr>
        <w:t>protocol</w:t>
      </w:r>
      <w:r>
        <w:t xml:space="preserve">, 4/19 </w:t>
      </w:r>
      <w:r>
        <w:rPr>
          <w:rFonts w:ascii="Consolas" w:hAnsi="Consolas"/>
        </w:rPr>
        <w:t>yolo_dist</w:t>
      </w:r>
      <w:r>
        <w:t xml:space="preserve">, 12/19 </w:t>
      </w:r>
      <w:r>
        <w:rPr>
          <w:rFonts w:ascii="Consolas" w:hAnsi="Consolas"/>
        </w:rPr>
        <w:t>reported</w:t>
      </w:r>
      <w:r>
        <w:t>); the re-verified tallies are Table 3's second column.</w:t>
      </w:r>
    </w:p>
    <w:p>
      <w:r>
        <w:rPr>
          <w:b/>
        </w:rPr>
        <w:t>Table 3.</w:t>
      </w:r>
      <w:r>
        <w:t xml:space="preserve"> The four counting units, with denominators named (§3). </w:t>
      </w:r>
      <w:r>
        <w:rPr>
          <w:b/>
        </w:rPr>
        <w:t>Co-headline (2026-10-10):</w:t>
      </w:r>
      <w:r>
        <w:t xml:space="preserve"> the same four units were re-coded blind by </w:t>
      </w:r>
      <w:r>
        <w:rPr>
          <w:b/>
        </w:rPr>
        <w:t>five current-generation coders</w:t>
      </w:r>
      <w:r>
        <w:t xml:space="preserve"> (κ </w:t>
      </w:r>
      <w:r>
        <w:rPr>
          <w:b/>
        </w:rPr>
        <w:t>0.824</w:t>
      </w:r>
      <w:r>
        <w:t xml:space="preserve">; </w:t>
      </w:r>
      <w:r>
        <w:rPr>
          <w:b/>
        </w:rPr>
        <w:t>Supplementary S12</w:t>
      </w:r>
      <w:r>
        <w:t xml:space="preserve">), and re-verifying every row first-hand changed </w:t>
      </w:r>
      <w:r>
        <w:rPr>
          <w:b/>
        </w:rPr>
        <w:t>30 cells</w:t>
      </w:r>
      <w:r>
        <w:t xml:space="preserve"> — so the table prints </w:t>
      </w:r>
      <w:r>
        <w:rPr>
          <w:b/>
        </w:rPr>
        <w:t>both tallies</w:t>
      </w:r>
      <w:r>
        <w:t xml:space="preserve">: the frozen single-rater counts, and beside them the same four units </w:t>
      </w:r>
      <w:r>
        <w:rPr>
          <w:b/>
        </w:rPr>
        <w:t>re-tallied from the marking table after the 2026-10-09 first-party correction record</w:t>
      </w:r>
      <w:r>
        <w:t xml:space="preserve">, under the </w:t>
      </w:r>
      <w:r>
        <w:rPr>
          <w:b/>
        </w:rPr>
        <w:t>same per-column rule</w:t>
      </w:r>
      <w:r>
        <w:t xml:space="preserve"> (the value-to-count mapping is in </w:t>
      </w:r>
      <w:r>
        <w:rPr>
          <w:b/>
        </w:rPr>
        <w:t>Supplementary S12</w:t>
      </w:r>
      <w:r>
        <w:t xml:space="preserve">). Source: </w:t>
      </w:r>
      <w:r>
        <w:rPr>
          <w:rFonts w:ascii="Consolas" w:hAnsi="Consolas"/>
        </w:rPr>
        <w:t>split_units_19rows_20260916.md</w:t>
      </w:r>
      <w:r>
        <w:t xml:space="preserve">. </w:t>
      </w:r>
      <w:r>
        <w:rPr>
          <w:b/>
        </w:rPr>
        <w:t>Rows marked `n_a` enter the denominator, not the numerator</w:t>
      </w:r>
      <w:r>
        <w:t xml:space="preserve">; </w:t>
      </w:r>
      <w:r>
        <w:rPr>
          <w:b/>
        </w:rPr>
        <w:t>alternative readings of the same rows</w:t>
      </w:r>
      <w:r>
        <w:t xml:space="preserve"> are </w:t>
      </w:r>
      <w:r>
        <w:rPr>
          <w:b/>
        </w:rPr>
        <w:t>12/19</w:t>
      </w:r>
      <w:r>
        <w:t xml:space="preserve"> for </w:t>
      </w:r>
      <w:r>
        <w:rPr>
          <w:rFonts w:ascii="Consolas" w:hAnsi="Consolas"/>
        </w:rPr>
        <w:t>release</w:t>
      </w:r>
      <w:r>
        <w:t xml:space="preserve">, </w:t>
      </w:r>
      <w:r>
        <w:rPr>
          <w:b/>
        </w:rPr>
        <w:t>12/15</w:t>
      </w:r>
      <w:r>
        <w:t xml:space="preserve"> the 19 less the four </w:t>
      </w:r>
      <w:r>
        <w:rPr>
          <w:b/>
        </w:rPr>
        <w:t>undecidable</w:t>
      </w:r>
      <w:r>
        <w:t xml:space="preserve"> (</w:t>
      </w:r>
      <w:r>
        <w:rPr>
          <w:rFonts w:ascii="Consolas" w:hAnsi="Consolas"/>
        </w:rPr>
        <w:t>n_a</w:t>
      </w:r>
      <w:r>
        <w:t xml:space="preserve"> is two rows), and </w:t>
      </w:r>
      <w:r>
        <w:rPr>
          <w:b/>
        </w:rPr>
        <w:t>13/19</w:t>
      </w:r>
      <w:r>
        <w:t xml:space="preserve"> for </w:t>
      </w:r>
      <w:r>
        <w:rPr>
          <w:rFonts w:ascii="Consolas" w:hAnsi="Consolas"/>
        </w:rPr>
        <w:t>reported</w:t>
      </w:r>
      <w:r>
        <w:t xml:space="preserve"> under the COCO-</w:t>
      </w:r>
      <w:r>
        <w:rPr>
          <w:rFonts w:ascii="Consolas" w:hAnsi="Consolas"/>
        </w:rPr>
        <w:t>val</w:t>
      </w:r>
      <w:r>
        <w:t xml:space="preserve"> reading. </w:t>
      </w:r>
      <w:r>
        <w:rPr>
          <w:b/>
        </w:rPr>
        <w:t>The `clean` row is a reading</w:t>
      </w:r>
      <w:r>
        <w:t xml:space="preserve">: the audit counted </w:t>
      </w:r>
      <w:r>
        <w:rPr>
          <w:b/>
        </w:rPr>
        <w:t>5/19</w:t>
      </w:r>
      <w:r>
        <w:t xml:space="preserve">, a later pass moved </w:t>
      </w:r>
      <w:r>
        <w:rPr>
          <w:b/>
        </w:rPr>
        <w:t>two</w:t>
      </w:r>
      <w:r>
        <w:t xml:space="preserve">, so this table reads </w:t>
      </w:r>
      <w:r>
        <w:rPr>
          <w:b/>
        </w:rPr>
        <w:t>3/19</w:t>
      </w:r>
      <w:r>
        <w:t xml:space="preserve">. </w:t>
      </w:r>
      <w:r>
        <w:rPr>
          <w:b/>
        </w:rPr>
        <w:t>The `reported` row's two denominators</w:t>
      </w:r>
      <w:r>
        <w:t xml:space="preserve">: </w:t>
      </w:r>
      <w:r>
        <w:rPr>
          <w:rFonts w:ascii="Consolas" w:hAnsi="Consolas"/>
        </w:rPr>
        <w:t>12–14 of the 19</w:t>
      </w:r>
      <w:r>
        <w:t xml:space="preserve">, and </w:t>
      </w:r>
      <w:r>
        <w:rPr>
          <w:rFonts w:ascii="Consolas" w:hAnsi="Consolas"/>
        </w:rPr>
        <w:t>12/15 = 80 %</w:t>
      </w:r>
      <w:r>
        <w:t xml:space="preserve"> over the fifteen neither </w:t>
      </w:r>
      <w:r>
        <w:rPr>
          <w:rFonts w:ascii="Consolas" w:hAnsi="Consolas"/>
        </w:rPr>
        <w:t>n_a</w:t>
      </w:r>
      <w:r>
        <w:t xml:space="preserve"> nor undecidable (</w:t>
      </w:r>
      <w:r>
        <w:rPr>
          <w:b/>
        </w:rPr>
        <w:t>4 rows are evidence-insufficient</w:t>
      </w:r>
      <w:r>
        <w:t xml:space="preserve">). </w:t>
      </w:r>
      <w:r>
        <w:rPr>
          <w:b/>
        </w:rPr>
        <w:t>Both ranges span two readings, not intervals</w:t>
      </w:r>
      <w:r>
        <w:t xml:space="preserve">, on a </w:t>
      </w:r>
      <w:r>
        <w:rPr>
          <w:b/>
        </w:rPr>
        <w:t>single rater's</w:t>
      </w:r>
      <w:r>
        <w:t xml:space="preserve"> judgement. </w:t>
      </w:r>
      <w:r>
        <w:rPr>
          <w:b/>
        </w:rPr>
        <w:t>Independent re-coding reproduces it only at 31.4 % (Round 7, coder agreement κ 0.836) and 42.2 % (Round 8, κ 0.811) of the printed marks</w:t>
      </w:r>
      <w:r>
        <w:t xml:space="preserve"> (Supplementary S12). A </w:t>
      </w:r>
      <w:r>
        <w:rPr>
          <w:b/>
        </w:rPr>
        <w:t>model-assisted, non-blind second coding</w:t>
      </w:r>
      <w:r>
        <w:t xml:space="preserve"> is </w:t>
      </w:r>
      <w:r>
        <w:rPr>
          <w:b/>
        </w:rPr>
        <w:t>reliability evidence, not a replacement</w:t>
      </w:r>
      <w:r>
        <w:t xml:space="preserve"> (</w:t>
      </w:r>
      <w:r>
        <w:rPr>
          <w:b/>
        </w:rPr>
        <w:t>Supplementary S12</w:t>
      </w:r>
      <w: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93"/>
        <w:gridCol w:w="1293"/>
        <w:gridCol w:w="1293"/>
        <w:gridCol w:w="1293"/>
        <w:gridCol w:w="1293"/>
      </w:tblGrid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Unit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non-independent: printed (single rater)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non-independent: after first-party re-verification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of decidable rows: printed → re-verified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undecidable: printed → re-verified</w:t>
            </w:r>
          </w:p>
        </w:tc>
      </w:tr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**release** (the benchmark's own release)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**10/19 ≈ 53 %**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**14/19**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10/19 → **14/19**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**protocol** (the official protocol)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**13/19 ≈ 68 %**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**14/19**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13/19 → **14/19**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**yolo_dist** (the generic YOLO distribution package)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**4/19 ≈ 21 %**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**2/19**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4/15 ≈ 27 % → **2/17 ≈ 12 %**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4 → **2 rows**</w:t>
            </w:r>
          </w:p>
        </w:tc>
      </w:tr>
      <w:tr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**reported** (the layer actually reported)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**12–14 of the 19 ≈ 63–74 %**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**10–11 of the 19**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12/15 = 80 % → **10/16–11/17 ≈ 63–65 %**</w:t>
            </w:r>
          </w:p>
        </w:tc>
        <w:tc>
          <w:tcPr>
            <w:tcW w:type="dxa" w:w="1293"/>
          </w:tcPr>
          <w:p>
            <w:pPr>
              <w:spacing w:line="240" w:lineRule="auto"/>
            </w:pPr>
            <w:r>
              <w:rPr>
                <w:sz w:val="20"/>
              </w:rPr>
              <w:t>4 → **2–3 rows**</w:t>
            </w:r>
          </w:p>
        </w:tc>
      </w:tr>
    </w:tbl>
    <w:p>
      <w:r>
        <w:t xml:space="preserve">&gt; </w:t>
      </w:r>
      <w:r>
        <w:rPr>
          <w:b/>
        </w:rPr>
        <w:t>What a count here is, and what a "yes" means.</w:t>
      </w:r>
      <w:r>
        <w:t xml:space="preserve"> Every row is a </w:t>
      </w:r>
      <w:r>
        <w:rPr>
          <w:b/>
        </w:rPr>
        <w:t>single rater's judgement</w:t>
      </w:r>
    </w:p>
    <w:p>
      <w:r>
        <w:t>&gt; (§6.1), so the counts are printed as counts — the percentages beside them are a reading aid, not a</w:t>
      </w:r>
    </w:p>
    <w:p>
      <w:r>
        <w:t>&gt; rate estimated from independent coding. A "yes" under any</w:t>
      </w:r>
    </w:p>
    <w:p>
      <w:r>
        <w:t xml:space="preserve">&gt; unit means the reported number is </w:t>
      </w:r>
      <w:r>
        <w:rPr>
          <w:b/>
        </w:rPr>
        <w:t>not a sample from an independent split</w:t>
      </w:r>
      <w:r>
        <w:t xml:space="preserve">; it does </w:t>
      </w:r>
      <w:r>
        <w:rPr>
          <w:b/>
        </w:rPr>
        <w:t>not</w:t>
      </w:r>
      <w:r>
        <w:t xml:space="preserve"> mean</w:t>
      </w:r>
    </w:p>
    <w:p>
      <w:r>
        <w:t>&gt; the benchmark is broken or the experiment dishonest, and it does not license a generalization claim.</w:t>
      </w:r>
    </w:p>
    <w:p>
      <w:r>
        <w:rPr>
          <w:b/>
        </w:rPr>
        <w:t>These 19 rows were coded by one rater</w:t>
      </w:r>
      <w:r>
        <w:t xml:space="preserve"> — 28 literal judgements (</w:t>
      </w:r>
      <w:r>
        <w:rPr>
          <w:b/>
        </w:rPr>
        <w:t>§10</w:t>
      </w:r>
      <w:r>
        <w:t xml:space="preserve">, defect 5). The five blind coders </w:t>
      </w:r>
      <w:r>
        <w:rPr>
          <w:b/>
        </w:rPr>
        <w:t>independently reach 19 of 30 (63.3 %)</w:t>
      </w:r>
      <w:r>
        <w:t xml:space="preserve"> corrected cells, eleven unanimously, while </w:t>
      </w:r>
      <w:r>
        <w:rPr>
          <w:b/>
        </w:rPr>
        <w:t>26 of 76</w:t>
      </w:r>
      <w:r>
        <w:t xml:space="preserve"> cells stay </w:t>
      </w:r>
      <w:r>
        <w:rPr>
          <w:b/>
        </w:rPr>
        <w:t>undecidable</w:t>
      </w:r>
      <w:r>
        <w:t xml:space="preserve">; a </w:t>
      </w:r>
      <w:r>
        <w:rPr>
          <w:b/>
        </w:rPr>
        <w:t>non-blind, model-assisted</w:t>
      </w:r>
      <w:r>
        <w:t xml:space="preserve"> pass agrees at κ </w:t>
      </w:r>
      <w:r>
        <w:rPr>
          <w:b/>
        </w:rPr>
        <w:t>0.874</w:t>
      </w:r>
      <w:r>
        <w:t xml:space="preserve"> and </w:t>
      </w:r>
      <w:r>
        <w:rPr>
          <w:b/>
        </w:rPr>
        <w:t>moves two rows</w:t>
      </w:r>
      <w:r>
        <w:t xml:space="preserve"> (</w:t>
      </w:r>
      <w:r>
        <w:rPr>
          <w:b/>
        </w:rPr>
        <w:t>Supplementary S12</w:t>
      </w:r>
      <w:r>
        <w:t xml:space="preserve">). </w:t>
      </w:r>
      <w:r>
        <w:rPr>
          <w:rFonts w:ascii="Consolas" w:hAnsi="Consolas"/>
        </w:rPr>
        <w:t>reported</w:t>
      </w:r>
      <w:r>
        <w:t xml:space="preserve"> means </w:t>
      </w:r>
      <w:r>
        <w:rPr>
          <w:b/>
        </w:rPr>
        <w:t>the number the literature prints</w:t>
      </w:r>
      <w:r>
        <w:t xml:space="preserve">: it is printed as a range, </w:t>
      </w:r>
      <w:r>
        <w:rPr>
          <w:b/>
        </w:rPr>
        <w:t>12–14 of the 19 ≈ 63–74 %</w:t>
      </w:r>
      <w:r>
        <w:t xml:space="preserve">, with the </w:t>
      </w:r>
      <w:r>
        <w:rPr>
          <w:b/>
        </w:rPr>
        <w:t>80 %</w:t>
      </w:r>
      <w:r>
        <w:t xml:space="preserve"> column the lower end over the </w:t>
      </w:r>
      <w:r>
        <w:rPr>
          <w:b/>
        </w:rPr>
        <w:t>12/15</w:t>
      </w:r>
      <w:r>
        <w:t xml:space="preserve"> decidable rows, and </w:t>
      </w:r>
      <w:r>
        <w:rPr>
          <w:rFonts w:ascii="Consolas" w:hAnsi="Consolas"/>
        </w:rPr>
        <w:t>n_a</w:t>
      </w:r>
      <w:r>
        <w:t xml:space="preserve"> rows counted in the </w:t>
      </w:r>
      <w:r>
        <w:rPr>
          <w:b/>
        </w:rPr>
        <w:t>19</w:t>
      </w:r>
      <w:r>
        <w:t xml:space="preserve"> but not the numerator (</w:t>
      </w:r>
      <w:r>
        <w:rPr>
          <w:b/>
        </w:rPr>
        <w:t>Supplementary S12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6.2 "Same directory" has four levels, and the audit reported only the narrowest</w:t>
      </w:r>
    </w:p>
    <w:p>
      <w:r>
        <w:t xml:space="preserve">The levels, the rows each admits and the resulting shift are in </w:t>
      </w:r>
      <w:r>
        <w:rPr>
          <w:b/>
        </w:rPr>
        <w:t>Supplementary S12</w:t>
      </w:r>
      <w:r>
        <w:t>, Table S12.</w:t>
      </w:r>
    </w:p>
    <w:p>
      <w:pPr>
        <w:pStyle w:val="Heading3"/>
      </w:pPr>
      <w:r>
        <w:rPr>
          <w:rFonts w:ascii="Times New Roman" w:hAnsi="Times New Roman"/>
        </w:rPr>
        <w:t>6.3 We do not reproduce the original audit's two numbers, and we say why</w:t>
      </w:r>
    </w:p>
    <w:p>
      <w:r>
        <w:t xml:space="preserve">one rests on the narrowest reading of "same directory", the other on a stale snapshot; both recomputations are in </w:t>
      </w:r>
      <w:r>
        <w:rPr>
          <w:b/>
        </w:rPr>
        <w:t>Supplementary S12</w:t>
      </w:r>
      <w:r>
        <w:t>, Table S13.</w:t>
      </w:r>
    </w:p>
    <w:p>
      <w:pPr>
        <w:pStyle w:val="Heading3"/>
      </w:pPr>
      <w:r>
        <w:rPr>
          <w:rFonts w:ascii="Times New Roman" w:hAnsi="Times New Roman"/>
        </w:rPr>
        <w:t>6.4 One judgment the evidence does not support (corrected)</w:t>
      </w:r>
    </w:p>
    <w:p>
      <w:r>
        <w:rPr>
          <w:b/>
        </w:rPr>
        <w:t>One classification correction is recorded in Supplementary S12</w:t>
      </w:r>
      <w:r>
        <w:t xml:space="preserve"> (D-Fire moves to the clean group).</w:t>
      </w:r>
    </w:p>
    <w:p>
      <w:pPr>
        <w:pStyle w:val="Heading3"/>
      </w:pPr>
      <w:r>
        <w:rPr>
          <w:rFonts w:ascii="Times New Roman" w:hAnsi="Times New Roman"/>
        </w:rPr>
        <w:t>6.5 Across frameworks: is the convention specific to YOLO?</w:t>
      </w:r>
    </w:p>
    <w:p>
      <w:r>
        <w:rPr>
          <w:b/>
        </w:rPr>
        <w:t>Among the pinned default configurations we checked, only the YOLO lineage does this by default.</w:t>
      </w:r>
      <w:r>
        <w:t xml:space="preserve"> At pinned commits Detectron2 (</w:t>
      </w:r>
      <w:r>
        <w:rPr>
          <w:rFonts w:ascii="Consolas" w:hAnsi="Consolas"/>
        </w:rPr>
        <w:t>TEST.EVAL_PERIOD = 0</w:t>
      </w:r>
      <w:r>
        <w:t xml:space="preserve">), MMDetection, DETR and PaddleDetection </w:t>
      </w:r>
      <w:r>
        <w:rPr>
          <w:b/>
        </w:rPr>
        <w:t>report the final epoch instead</w:t>
      </w:r>
      <w:r>
        <w:t xml:space="preserve"> (file-by-file evidence, 25 configuration files: </w:t>
      </w:r>
      <w:r>
        <w:rPr>
          <w:b/>
        </w:rPr>
        <w:t>S12</w:t>
      </w:r>
      <w:r>
        <w:t xml:space="preserve">, Table S14; </w:t>
      </w:r>
      <w:r>
        <w:rPr>
          <w:b/>
        </w:rPr>
        <w:t>a targeted sample at pinned commits, not a census</w:t>
      </w:r>
      <w:r>
        <w:t xml:space="preserve">, so "the convention" means that family's, not the field's). A </w:t>
      </w:r>
      <w:r>
        <w:rPr>
          <w:b/>
        </w:rPr>
        <w:t>cross-lineage realization test</w:t>
      </w:r>
      <w:r>
        <w:t xml:space="preserve"> — a Faster R-CNN (ResNet-50 FPN) detector, a family that </w:t>
      </w:r>
      <w:r>
        <w:rPr>
          <w:b/>
        </w:rPr>
        <w:t>reports the final epoch by default</w:t>
      </w:r>
      <w:r>
        <w:t xml:space="preserve"> — on VisDrone under the same three-way split, at </w:t>
      </w:r>
      <w:r>
        <w:rPr>
          <w:b/>
        </w:rPr>
        <w:t>six seeds</w:t>
      </w:r>
      <w:r>
        <w:t xml:space="preserve">, is </w:t>
      </w:r>
      <w:r>
        <w:rPr>
          <w:b/>
        </w:rPr>
        <w:t>positive in all six runs, with a 95 % interval excluding zero</w:t>
      </w:r>
      <w:r>
        <w:t xml:space="preserve"> (</w:t>
      </w:r>
      <w:r>
        <w:rPr>
          <w:b/>
        </w:rPr>
        <w:t>68.2 %</w:t>
      </w:r>
      <w:r>
        <w:t xml:space="preserve"> realized; </w:t>
      </w:r>
      <w:r>
        <w:rPr>
          <w:b/>
        </w:rPr>
        <w:t>+0.0809 pp</w:t>
      </w:r>
      <w:r>
        <w:t xml:space="preserve"> mean </w:t>
      </w:r>
      <w:r>
        <w:rPr>
          <w:rFonts w:ascii="Consolas" w:hAnsi="Consolas"/>
        </w:rPr>
        <w:t>prem_val</w:t>
      </w:r>
      <w:r>
        <w:t xml:space="preserve">, 95 % CI </w:t>
      </w:r>
      <w:r>
        <w:rPr>
          <w:b/>
        </w:rPr>
        <w:t>[26.9 %, 123.5 %]</w:t>
      </w:r>
      <w:r>
        <w:t xml:space="preserve">) (values, interval and per-run table: </w:t>
      </w:r>
      <w:r>
        <w:rPr>
          <w:b/>
        </w:rPr>
        <w:t>Supplementary S34</w:t>
      </w:r>
      <w:r>
        <w:t xml:space="preserve">): the mechanism is </w:t>
      </w:r>
      <w:r>
        <w:rPr>
          <w:b/>
        </w:rPr>
        <w:t>not confined to the YOLO lineage in this instance</w:t>
      </w:r>
      <w:r>
        <w:t xml:space="preserve">. A </w:t>
      </w:r>
      <w:r>
        <w:rPr>
          <w:b/>
        </w:rPr>
        <w:t>second detector family</w:t>
      </w:r>
      <w:r>
        <w:t xml:space="preserve"> (RetinaNet, both corpora) keeps the </w:t>
      </w:r>
      <w:r>
        <w:rPr>
          <w:b/>
        </w:rPr>
        <w:t>direction</w:t>
      </w:r>
      <w:r>
        <w:t xml:space="preserve"> but not the strength (</w:t>
      </w:r>
      <w:r>
        <w:rPr>
          <w:b/>
        </w:rPr>
        <w:t>Supplementary S34e</w:t>
      </w:r>
      <w:r>
        <w:t xml:space="preserve">). A second corpus, same protocol, same direction: </w:t>
      </w:r>
      <w:r>
        <w:rPr>
          <w:b/>
        </w:rPr>
        <w:t>6/6</w:t>
      </w:r>
      <w:r>
        <w:t xml:space="preserve"> and </w:t>
      </w:r>
      <w:r>
        <w:rPr>
          <w:b/>
        </w:rPr>
        <w:t>12/12</w:t>
      </w:r>
      <w:r>
        <w:t xml:space="preserve"> runs on </w:t>
      </w:r>
      <w:r>
        <w:rPr>
          <w:rFonts w:ascii="Consolas" w:hAnsi="Consolas"/>
        </w:rPr>
        <w:t>val</w:t>
      </w:r>
      <w:r>
        <w:t xml:space="preserve">, </w:t>
      </w:r>
      <w:r>
        <w:rPr>
          <w:b/>
        </w:rPr>
        <w:t>5/6</w:t>
      </w:r>
      <w:r>
        <w:t xml:space="preserve"> and </w:t>
      </w:r>
      <w:r>
        <w:rPr>
          <w:b/>
        </w:rPr>
        <w:t>11/12</w:t>
      </w:r>
      <w:r>
        <w:t xml:space="preserve"> on </w:t>
      </w:r>
      <w:r>
        <w:rPr>
          <w:rFonts w:ascii="Consolas" w:hAnsi="Consolas"/>
        </w:rPr>
        <w:t>test</w:t>
      </w:r>
      <w:r>
        <w:t xml:space="preserve">. This is </w:t>
      </w:r>
      <w:r>
        <w:rPr>
          <w:b/>
        </w:rPr>
        <w:t>one detector, one protocol, two corpora, one setting</w:t>
      </w:r>
      <w:r>
        <w:t xml:space="preserve"> — </w:t>
      </w:r>
      <w:r>
        <w:rPr>
          <w:b/>
        </w:rPr>
        <w:t>not a generalisation beyond the YOLO lineage</w:t>
      </w:r>
      <w:r>
        <w:t xml:space="preserve"> (</w:t>
      </w:r>
      <w:r>
        <w:rPr>
          <w:b/>
        </w:rPr>
        <w:t>Supplementary S34c</w:t>
      </w:r>
      <w:r>
        <w:t xml:space="preserve">). Its </w:t>
      </w:r>
      <w:r>
        <w:rPr>
          <w:b/>
        </w:rPr>
        <w:t>68.2 %</w:t>
      </w:r>
      <w:r>
        <w:t xml:space="preserve"> is a rate over </w:t>
      </w:r>
      <w:r>
        <w:rPr>
          <w:b/>
        </w:rPr>
        <w:t>six runs</w:t>
      </w:r>
      <w:r>
        <w:t xml:space="preserve"> on this probe's own split and is </w:t>
      </w:r>
      <w:r>
        <w:rPr>
          <w:b/>
        </w:rPr>
        <w:t>not comparable</w:t>
      </w:r>
      <w:r>
        <w:t xml:space="preserve"> with §8.6's realization rate: different protocol, different denominator.</w:t>
      </w:r>
    </w:p>
    <w:p>
      <w:pPr>
        <w:pStyle w:val="Heading2"/>
      </w:pPr>
      <w:r>
        <w:rPr>
          <w:rFonts w:ascii="Times New Roman" w:hAnsi="Times New Roman"/>
        </w:rPr>
        <w:t>7. Finding 4: what "significant" means, and how the endpoint convention changes it</w:t>
      </w:r>
    </w:p>
    <w:p>
      <w:pPr>
        <w:pStyle w:val="Heading3"/>
      </w:pPr>
      <w:r>
        <w:rPr>
          <w:rFonts w:ascii="Times New Roman" w:hAnsi="Times New Roman"/>
        </w:rPr>
        <w:t>7.1 With n = 3 a permutation test cannot reject in principle</w:t>
      </w:r>
    </w:p>
    <w:p>
      <w:r>
        <w:rPr>
          <w:b/>
        </w:rPr>
        <w:t>A power note for the cells that remain at n = 3.</w:t>
      </w:r>
      <w:r>
        <w:t xml:space="preserve"> Recovering each Tier-2 cell's sd from its own printed 95 % CI gives </w:t>
      </w:r>
      <w:r>
        <w:rPr>
          <w:b/>
        </w:rPr>
        <w:t>0.20–0.67 pp</w:t>
      </w:r>
      <w:r>
        <w:t xml:space="preserve">; at n = 3 the required effect is </w:t>
      </w:r>
      <w:r>
        <w:rPr>
          <w:b/>
        </w:rPr>
        <w:t>0.65–2.19 pp</w:t>
      </w:r>
      <w:r>
        <w:t xml:space="preserve"> at α = 0.05, two-sided — </w:t>
      </w:r>
      <w:r>
        <w:rPr>
          <w:b/>
        </w:rPr>
        <w:t>at or above every Tier-1 effect here</w:t>
      </w:r>
      <w:r>
        <w:t xml:space="preserve"> (+0.27 to +0.53 pp) — and 0.2–0.7 pp at n = 10. The nine cells at n = 3 are therefore </w:t>
      </w:r>
      <w:r>
        <w:rPr>
          <w:b/>
        </w:rPr>
        <w:t>not testable at this design</w:t>
      </w:r>
      <w:r>
        <w:t xml:space="preserve">, and are reported descriptively only. </w:t>
      </w:r>
      <w:r>
        <w:rPr>
          <w:b/>
        </w:rPr>
        <w:t>A prefix-n table (n = 3…10) and the derivation with the non-central-`t` factor (</w:t>
      </w:r>
      <w:r>
        <w:rPr>
          <w:rFonts w:ascii="Consolas" w:hAnsi="Consolas"/>
        </w:rPr>
        <w:t>3.26·sd</w:t>
      </w:r>
      <w:r>
        <w:rPr>
          <w:b/>
        </w:rPr>
        <w:t>) are in S12</w:t>
      </w:r>
      <w:r>
        <w:t xml:space="preserve">; the permutation floor </w:t>
      </w:r>
      <w:r>
        <w:rPr>
          <w:b/>
        </w:rPr>
        <w:t>2/2ⁿ</w:t>
      </w:r>
      <w:r>
        <w:t xml:space="preserve"> binds at n = 3, not the </w:t>
      </w:r>
      <w:r>
        <w:rPr>
          <w:i/>
        </w:rPr>
        <w:t>t</w:t>
      </w:r>
      <w:r>
        <w:t xml:space="preserve"> test.</w:t>
      </w:r>
    </w:p>
    <w:p>
      <w:r>
        <w:rPr>
          <w:b/>
        </w:rPr>
        <w:t>For a sign-flip permutation test on n pairs the smallest attainable two-sided p is 2/2ⁿ</w:t>
      </w:r>
      <w:r>
        <w:t xml:space="preserve">: at n = 3 that is </w:t>
      </w:r>
      <w:r>
        <w:rPr>
          <w:b/>
        </w:rPr>
        <w:t>0.25</w:t>
      </w:r>
      <w:r>
        <w:t xml:space="preserve">, so such a cell has </w:t>
      </w:r>
      <w:r>
        <w:rPr>
          <w:b/>
        </w:rPr>
        <w:t>no resolution at this n</w:t>
      </w:r>
      <w:r>
        <w:t xml:space="preserve">; </w:t>
      </w:r>
      <w:r>
        <w:rPr>
          <w:b/>
        </w:rPr>
        <w:t>after §5.1's escalations no headline cell (Tables 1–2) is n = 3</w:t>
      </w:r>
      <w:r>
        <w:t xml:space="preserve"> (</w:t>
      </w:r>
      <w:r>
        <w:rPr>
          <w:b/>
        </w:rPr>
        <w:t>the derivation and each n's floor: Supplementary S12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7.2 The two clean-protocol cells clear significance by n = 6–8</w:t>
      </w:r>
    </w:p>
    <w:p>
      <w:r>
        <w:rPr>
          <w:b/>
        </w:rPr>
        <w:t>The weaker endpoint reaches *t*-significance at n = 6 on `shwd2sf` (p = 0.0164) and n = 7 on `smoke2sf` (p = 0.0400)</w:t>
      </w:r>
      <w:r>
        <w:t xml:space="preserve">; the </w:t>
      </w:r>
      <w:r>
        <w:rPr>
          <w:b/>
        </w:rPr>
        <w:t xml:space="preserve">exact permutation — floored at 2/2ⁿ (0.25 at n = 3) — follows </w:t>
      </w:r>
      <w:r>
        <w:t xml:space="preserve">one step behind on </w:t>
      </w:r>
      <w:r>
        <w:rPr>
          <w:rFonts w:ascii="Consolas" w:hAnsi="Consolas"/>
        </w:rPr>
        <w:t>shwd2sf</w:t>
      </w:r>
      <w:r>
        <w:t xml:space="preserve"> and none on </w:t>
      </w:r>
      <w:r>
        <w:rPr>
          <w:rFonts w:ascii="Consolas" w:hAnsi="Consolas"/>
        </w:rPr>
        <w:t>smoke2sf</w:t>
      </w:r>
      <w:r>
        <w:rPr>
          <w:b/>
        </w:rPr>
        <w:t xml:space="preserve"> (n = 8 on both `selected` readings; Table S42 gives every prefix n, both endpoints). The clean-protocol seed extension that reaches n = 10, and the per-cell numbers, are in </w:t>
      </w:r>
      <w:r>
        <w:t>Supplementary S12** and Table S15.</w:t>
      </w:r>
    </w:p>
    <w:p>
      <w:r>
        <w:t xml:space="preserve">&gt; </w:t>
      </w:r>
      <w:r>
        <w:rPr>
          <w:b/>
        </w:rPr>
        <w:t>First-report attribution (a convention we hold to).</w:t>
      </w:r>
      <w:r>
        <w:t xml:space="preserve"> Three things here belong to the companion</w:t>
      </w:r>
    </w:p>
    <w:p>
      <w:r>
        <w:t>&gt; paper and are cited, not claimed: the two Δ values (</w:t>
      </w:r>
      <w:r>
        <w:rPr>
          <w:b/>
        </w:rPr>
        <w:t>+1.434 / +0.507 pp</w:t>
      </w:r>
      <w:r>
        <w:t>), the three-way remediation</w:t>
      </w:r>
    </w:p>
    <w:p>
      <w:r>
        <w:t>&gt; protocol itself, and the pre-registered multi-target replication (§9). What this paper reports first is</w:t>
      </w:r>
    </w:p>
    <w:p>
      <w:r>
        <w:t>&gt; **the selection premium (§5), the 2 × 2 realization of that premium on a disjoint split (§8.6–8.7), and</w:t>
      </w:r>
    </w:p>
    <w:p>
      <w:r>
        <w:t>&gt; the formalisation of the realization rate (§3.1)**. The full statement — including how the companion is</w:t>
      </w:r>
    </w:p>
    <w:p>
      <w:r>
        <w:t xml:space="preserve">&gt; named to the editor while it carries no identifier — is in </w:t>
      </w:r>
      <w:r>
        <w:rPr>
          <w:b/>
        </w:rPr>
        <w:t>Supplementary S12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7.3 A cross-archive endpoint conflict on the same run (investigated — and itself a disclosure)</w:t>
      </w:r>
    </w:p>
    <w:p>
      <w:r>
        <w:rPr>
          <w:b/>
        </w:rPr>
        <w:t>One run is recorded with two different endpoints in two archives</w:t>
      </w:r>
      <w:r>
        <w:t xml:space="preserve"> — which checkpoint is recorded was never specified: </w:t>
      </w:r>
      <w:r>
        <w:rPr>
          <w:b/>
        </w:rPr>
        <w:t>Supplementary S12</w:t>
      </w:r>
      <w:r>
        <w:t xml:space="preserve">, Table S16. Taking the final-epoch entry (67.12) gives Δ = </w:t>
      </w:r>
      <w:r>
        <w:rPr>
          <w:b/>
        </w:rPr>
        <w:t>−1.490</w:t>
      </w:r>
      <w:r>
        <w:t xml:space="preserve">, p = </w:t>
      </w:r>
      <w:r>
        <w:rPr>
          <w:b/>
        </w:rPr>
        <w:t>0.0141</w:t>
      </w:r>
      <w:r>
        <w:t xml:space="preserve">. The best-epoch entry (70.06) reads Δ = </w:t>
      </w:r>
      <w:r>
        <w:rPr>
          <w:b/>
        </w:rPr>
        <w:t>−0.902</w:t>
      </w:r>
      <w:r>
        <w:t xml:space="preserve">, p = </w:t>
      </w:r>
      <w:r>
        <w:rPr>
          <w:b/>
        </w:rPr>
        <w:t>0.2931</w:t>
      </w:r>
      <w:r>
        <w:t xml:space="preserve">, </w:t>
      </w:r>
      <w:r>
        <w:rPr>
          <w:b/>
        </w:rPr>
        <w:t>but had been computed with the run's `last` reading</w:t>
      </w:r>
      <w:r>
        <w:t xml:space="preserve">; corrected </w:t>
      </w:r>
      <w:r>
        <w:rPr>
          <w:b/>
        </w:rPr>
        <w:t>2026-10-02</w:t>
      </w:r>
      <w:r>
        <w:t xml:space="preserve"> it becomes Δ = </w:t>
      </w:r>
      <w:r>
        <w:rPr>
          <w:b/>
        </w:rPr>
        <w:t>−1.490</w:t>
      </w:r>
      <w:r>
        <w:t xml:space="preserve">, p = </w:t>
      </w:r>
      <w:r>
        <w:rPr>
          <w:b/>
        </w:rPr>
        <w:t>0.0141</w:t>
      </w:r>
      <w:r>
        <w:t xml:space="preserve">, as released. So under the </w:t>
      </w:r>
      <w:r>
        <w:rPr>
          <w:b/>
        </w:rPr>
        <w:t>`best`</w:t>
      </w:r>
      <w:r>
        <w:t xml:space="preserve"> convention of §5 this cell is </w:t>
      </w:r>
      <w:r>
        <w:rPr>
          <w:b/>
        </w:rPr>
        <w:t>significant</w:t>
      </w:r>
      <w:r>
        <w:t>, and nothing printed here moves.</w:t>
      </w:r>
    </w:p>
    <w:p>
      <w:pPr>
        <w:pStyle w:val="Heading2"/>
      </w:pPr>
      <w:r>
        <w:rPr>
          <w:rFonts w:ascii="Times New Roman" w:hAnsi="Times New Roman"/>
        </w:rPr>
        <w:t>8. Finding 5: how far the selection premium transfers to an independent split</w:t>
      </w:r>
    </w:p>
    <w:p>
      <w:pPr>
        <w:pStyle w:val="Heading3"/>
      </w:pPr>
      <w:r>
        <w:rPr>
          <w:rFonts w:ascii="Times New Roman" w:hAnsi="Times New Roman"/>
        </w:rPr>
        <w:t>8.1 The protocol is the companion's; the measurement under it is this paper's</w:t>
      </w:r>
    </w:p>
    <w:p>
      <w:r>
        <w:t xml:space="preserve">The three-way remediation protocol is </w:t>
      </w:r>
      <w:r>
        <w:rPr>
          <w:b/>
        </w:rPr>
        <w:t>defined and reported in the companion paper</w:t>
      </w:r>
      <w:r>
        <w:t xml:space="preserve"> — which first reports that </w:t>
      </w:r>
      <w:r>
        <w:rPr>
          <w:b/>
        </w:rPr>
        <w:t>the effect reproduces in direction while its magnitude falls</w:t>
      </w:r>
      <w:r>
        <w:t xml:space="preserve"> — so this section </w:t>
      </w:r>
      <w:r>
        <w:rPr>
          <w:b/>
        </w:rPr>
        <w:t>cites it</w:t>
      </w:r>
      <w:r>
        <w:t xml:space="preserve"> rather than presenting the replication. </w:t>
      </w:r>
      <w:r>
        <w:rPr>
          <w:b/>
        </w:rPr>
        <w:t>In this paper's own terms it is three things</w:t>
      </w:r>
      <w:r>
        <w:t xml:space="preserve">: a </w:t>
      </w:r>
      <w:r>
        <w:rPr>
          <w:rFonts w:ascii="Consolas" w:hAnsi="Consolas"/>
        </w:rPr>
        <w:t>val</w:t>
      </w:r>
      <w:r>
        <w:t xml:space="preserve"> carved from the pool so that training never sees it; the target corpus's own held-out </w:t>
      </w:r>
      <w:r>
        <w:rPr>
          <w:rFonts w:ascii="Consolas" w:hAnsi="Consolas"/>
        </w:rPr>
        <w:t>test</w:t>
      </w:r>
      <w:r>
        <w:t xml:space="preserve">, with a filename-level check that its images do not intersect training; and an endpoint </w:t>
      </w:r>
      <w:r>
        <w:rPr>
          <w:b/>
        </w:rPr>
        <w:t>defined in writing before any run</w:t>
      </w:r>
      <w:r>
        <w:t xml:space="preserve">. Its </w:t>
      </w:r>
      <w:r>
        <w:rPr>
          <w:b/>
        </w:rPr>
        <w:t>FROZEN-HASH</w:t>
      </w:r>
      <w:r>
        <w:t xml:space="preserve"> stamp is stated in </w:t>
      </w:r>
      <w:r>
        <w:rPr>
          <w:b/>
        </w:rPr>
        <w:t>§9</w:t>
      </w:r>
      <w:r>
        <w:t xml:space="preserve">; the registration </w:t>
      </w:r>
      <w:r>
        <w:rPr>
          <w:b/>
        </w:rPr>
        <w:t>text</w:t>
      </w:r>
      <w:r>
        <w:t xml:space="preserve"> itself is the companion's and is </w:t>
      </w:r>
      <w:r>
        <w:rPr>
          <w:b/>
        </w:rPr>
        <w:t>author-side</w:t>
      </w:r>
      <w:r>
        <w:t>, so this paper carries the stamp and the readings (</w:t>
      </w:r>
      <w:r>
        <w:rPr>
          <w:b/>
        </w:rPr>
        <w:t>Tables S24–S27</w:t>
      </w:r>
      <w:r>
        <w:t>), not the document. What this paper measures</w:t>
      </w:r>
    </w:p>
    <w:p>
      <w:r>
        <w:rPr>
          <w:b/>
        </w:rPr>
        <w:t>under</w:t>
      </w:r>
      <w:r>
        <w:t xml:space="preserve"> that protocol is the quantity §3.1 formalises: </w:t>
      </w:r>
      <w:r>
        <w:rPr>
          <w:b/>
        </w:rPr>
        <w:t>how much of the `val`-selected premium survives on a split no selection rule can touch</w:t>
      </w:r>
      <w:r>
        <w:t>, and that measurement is this paper's.</w:t>
      </w:r>
    </w:p>
    <w:p>
      <w:pPr>
        <w:pStyle w:val="Heading3"/>
      </w:pPr>
      <w:r>
        <w:rPr>
          <w:rFonts w:ascii="Times New Roman" w:hAnsi="Times New Roman"/>
        </w:rPr>
        <w:t>8.2 The protocol's results on the companion's corpora: transferred</w:t>
      </w:r>
    </w:p>
    <w:p>
      <w:r>
        <w:t>The protocol's results on the companion's corpora are the companion's first report. What this paper adds under the protocol is the measurement of §8.6–§8.7; the transfer (2026-09-21) is recorded in the module-transfer note of that date.</w:t>
      </w:r>
    </w:p>
    <w:p>
      <w:pPr>
        <w:pStyle w:val="Heading3"/>
      </w:pPr>
      <w:r>
        <w:rPr>
          <w:rFonts w:ascii="Times New Roman" w:hAnsi="Times New Roman"/>
        </w:rPr>
        <w:t>8.3 A direct measurement of data-order replication (not seed variance, and not the selection claim itself)</w:t>
      </w:r>
    </w:p>
    <w:p>
      <w:r>
        <w:rPr>
          <w:b/>
        </w:rPr>
        <w:t>A direct measurement of data-order replication — reproduced inside this setting</w:t>
      </w:r>
      <w:r>
        <w:t xml:space="preserve">: adding replicates that permute the training file order lowers the mean by </w:t>
      </w:r>
      <w:r>
        <w:rPr>
          <w:b/>
        </w:rPr>
        <w:t>9 %–29 %</w:t>
      </w:r>
      <w:r>
        <w:t xml:space="preserve">, each figure taken </w:t>
      </w:r>
      <w:r>
        <w:rPr>
          <w:b/>
        </w:rPr>
        <w:t>against that cell's own n = 6 mean</w:t>
      </w:r>
      <w:r>
        <w:t xml:space="preserve"> and not against the pooled headline effect, the </w:t>
      </w:r>
      <w:r>
        <w:rPr>
          <w:b/>
        </w:rPr>
        <w:t>seed-budget discipline</w:t>
      </w:r>
      <w:r>
        <w:t xml:space="preserve"> measured rather than assumed ([52]'s setting, §8.4). </w:t>
      </w:r>
      <w:r>
        <w:rPr>
          <w:b/>
        </w:rPr>
        <w:t>What these replicates are.</w:t>
      </w:r>
      <w:r>
        <w:t xml:space="preserve"> The per-run randomness is a </w:t>
      </w:r>
      <w:r>
        <w:rPr>
          <w:b/>
        </w:rPr>
        <w:t>deterministic permutation of the training file order</w:t>
      </w:r>
      <w:r>
        <w:t xml:space="preserve"> (</w:t>
      </w:r>
      <w:r>
        <w:rPr>
          <w:rFonts w:ascii="Consolas" w:hAnsi="Consolas"/>
        </w:rPr>
        <w:t>--shuffle-seed</w:t>
      </w:r>
      <w:r>
        <w:t xml:space="preserve">, the number in the run's name), </w:t>
      </w:r>
      <w:r>
        <w:rPr>
          <w:b/>
        </w:rPr>
        <w:t>not</w:t>
      </w:r>
      <w:r>
        <w:t xml:space="preserve"> the framework's </w:t>
      </w:r>
      <w:r>
        <w:rPr>
          <w:rFonts w:ascii="Consolas" w:hAnsi="Consolas"/>
        </w:rPr>
        <w:t>seed</w:t>
      </w:r>
      <w:r>
        <w:t xml:space="preserve"> argument (</w:t>
      </w:r>
      <w:r>
        <w:rPr>
          <w:b/>
        </w:rPr>
        <w:t>Supplementary S12</w:t>
      </w:r>
      <w:r>
        <w:t xml:space="preserve">, section 9.3, with the two corpora whose replays are identical across </w:t>
      </w:r>
      <w:r>
        <w:rPr>
          <w:rFonts w:ascii="Consolas" w:hAnsi="Consolas"/>
        </w:rPr>
        <w:t>--seed</w:t>
      </w:r>
      <w:r>
        <w:t xml:space="preserve"> values). The quantity is therefore </w:t>
      </w:r>
      <w:r>
        <w:rPr>
          <w:b/>
        </w:rPr>
        <w:t>data-order replication</w:t>
      </w:r>
      <w:r>
        <w:t xml:space="preserve">, not seed variance: the 9 %–29 % bounds the </w:t>
      </w:r>
      <w:r>
        <w:rPr>
          <w:b/>
        </w:rPr>
        <w:t>file-order</w:t>
      </w:r>
      <w:r>
        <w:t xml:space="preserve"> component of the reported mean, </w:t>
      </w:r>
      <w:r>
        <w:rPr>
          <w:b/>
        </w:rPr>
        <w:t>not</w:t>
      </w:r>
      <w:r>
        <w:t xml:space="preserve"> the variance between independent training seeds. That best-of-K selection inflates a reported score is </w:t>
      </w:r>
      <w:r>
        <w:rPr>
          <w:b/>
        </w:rPr>
        <w:t>not new</w:t>
      </w:r>
      <w:r>
        <w:t xml:space="preserve"> (§8.6 positions the closest concurrent work, a dose–response over 2,047 datasets), so </w:t>
      </w:r>
      <w:r>
        <w:rPr>
          <w:b/>
        </w:rPr>
        <w:t>what is measured here is the magnitude under a protocol that selects cells for significance first and expands seeds afterwards</w:t>
      </w:r>
      <w:r>
        <w:t xml:space="preserve"> (design and recomputation check: </w:t>
      </w:r>
      <w:r>
        <w:rPr>
          <w:b/>
        </w:rPr>
        <w:t>Supplementary S12</w:t>
      </w:r>
      <w:r>
        <w:t xml:space="preserve">, Table S18). </w:t>
      </w:r>
      <w:r>
        <w:rPr>
          <w:b/>
        </w:rPr>
        <w:t>The title is deliberately the weaker, sample-scoped claim</w:t>
      </w:r>
      <w:r>
        <w:t xml:space="preserve">: with three initializations the interval is wide, and extending to five does not narrow it (the gain SD reaches the data-order component's order), so the components are </w:t>
      </w:r>
      <w:r>
        <w:rPr>
          <w:b/>
        </w:rPr>
        <w:t>consistent with, not established by</w:t>
      </w:r>
      <w:r>
        <w:t>, these initializations.</w:t>
      </w:r>
    </w:p>
    <w:p>
      <w:pPr>
        <w:pStyle w:val="Heading3"/>
      </w:pPr>
      <w:r>
        <w:rPr>
          <w:rFonts w:ascii="Times New Roman" w:hAnsi="Times New Roman"/>
        </w:rPr>
        <w:t>8.4 The three variance components: the excluded one is the smaller in this sample — a sample-scoped ordering, not an established one</w:t>
      </w:r>
    </w:p>
    <w:p>
      <w:r>
        <w:rPr>
          <w:b/>
        </w:rPr>
        <w:t>The three variance components, and the excluded one is the smaller in this sample</w:t>
      </w:r>
      <w:r>
        <w:t xml:space="preserve">: the single-run data-order component is </w:t>
      </w:r>
      <w:r>
        <w:rPr>
          <w:b/>
        </w:rPr>
        <w:t>0.515 pp</w:t>
      </w:r>
      <w:r>
        <w:t xml:space="preserve">, against an initialization component of the same order — the </w:t>
      </w:r>
      <w:r>
        <w:rPr>
          <w:b/>
        </w:rPr>
        <w:t>same ranking</w:t>
      </w:r>
      <w:r>
        <w:t xml:space="preserve"> as the shuffle-order result of [52] (</w:t>
      </w:r>
      <w:r>
        <w:rPr>
          <w:b/>
        </w:rPr>
        <w:t>Supplementary S12</w:t>
      </w:r>
      <w:r>
        <w:t xml:space="preserve">), so we </w:t>
      </w:r>
      <w:r>
        <w:rPr>
          <w:b/>
        </w:rPr>
        <w:t>reproduce the ordering inside this setting</w:t>
      </w:r>
      <w:r>
        <w:t xml:space="preserve"> rather than discover it. What was held fixed, and why this is </w:t>
      </w:r>
      <w:r>
        <w:rPr>
          <w:b/>
        </w:rPr>
        <w:t>sample-scoped</w:t>
      </w:r>
      <w:r>
        <w:t xml:space="preserve"> — at five initializations the gain SD moves </w:t>
      </w:r>
      <w:r>
        <w:rPr>
          <w:b/>
        </w:rPr>
        <w:t>0.146 → 0.439 pp</w:t>
      </w:r>
      <w:r>
        <w:t xml:space="preserve"> and its interval </w:t>
      </w:r>
      <w:r>
        <w:rPr>
          <w:b/>
        </w:rPr>
        <w:t>overlaps</w:t>
      </w:r>
      <w:r>
        <w:t xml:space="preserve"> the data-order magnitude, so the two are of the same order rather than one clearly smaller — is in </w:t>
      </w:r>
      <w:r>
        <w:rPr>
          <w:b/>
        </w:rPr>
        <w:t>Supplementary S12</w:t>
      </w:r>
      <w:r>
        <w:t xml:space="preserve"> and Table S19.</w:t>
      </w:r>
    </w:p>
    <w:p>
      <w:pPr>
        <w:pStyle w:val="Heading3"/>
      </w:pPr>
      <w:r>
        <w:rPr>
          <w:rFonts w:ascii="Times New Roman" w:hAnsi="Times New Roman"/>
        </w:rPr>
        <w:t>8.5 Why "same-pipeline pairing" is a necessity, not a habit</w:t>
      </w:r>
    </w:p>
    <w:p>
      <w:r>
        <w:rPr>
          <w:b/>
        </w:rPr>
        <w:t>Pairing is not neutrality</w:t>
      </w:r>
      <w:r>
        <w:t xml:space="preserve">: the paired design covers the </w:t>
      </w:r>
      <w:r>
        <w:rPr>
          <w:b/>
        </w:rPr>
        <w:t>budget and data</w:t>
      </w:r>
      <w:r>
        <w:t xml:space="preserve"> axes only, and </w:t>
      </w:r>
      <w:r>
        <w:rPr>
          <w:b/>
        </w:rPr>
        <w:t>not</w:t>
      </w:r>
      <w:r>
        <w:t xml:space="preserve"> the optimiser’s (why, and the counterexample: </w:t>
      </w:r>
      <w:r>
        <w:rPr>
          <w:b/>
        </w:rPr>
        <w:t>Supplementary S12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8.6 The premium's realization rate: the claim-level interval includes zero ([−17.3 %, 53.2 %], P = 0.118); the point estimates below are descriptive (arm-cell median 17.6 %, five arm-cells, n = 10; run-weighted 23.3 %)</w:t>
      </w:r>
    </w:p>
    <w:p>
      <w:r>
        <w:drawing>
          <wp:inline xmlns:a="http://schemas.openxmlformats.org/drawingml/2006/main" xmlns:pic="http://schemas.openxmlformats.org/drawingml/2006/picture">
            <wp:extent cx="3096000" cy="15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alization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2.</w:t>
      </w:r>
      <w:r>
        <w:t xml:space="preserve"> The </w:t>
      </w:r>
      <w:r>
        <w:rPr>
          <w:rFonts w:ascii="Consolas" w:hAnsi="Consolas"/>
        </w:rPr>
        <w:t>val</w:t>
      </w:r>
      <w:r>
        <w:t xml:space="preserve">-selected premium against what it realizes on the disjoint </w:t>
      </w:r>
      <w:r>
        <w:rPr>
          <w:rFonts w:ascii="Consolas" w:hAnsi="Consolas"/>
        </w:rPr>
        <w:t>test</w:t>
      </w:r>
      <w:r>
        <w:t xml:space="preserve"> split, per arm-cell; the title's aggregate is the plotted pool's — </w:t>
      </w:r>
      <w:r>
        <w:rPr>
          <w:b/>
        </w:rPr>
        <w:t>§8.6</w:t>
      </w:r>
      <w:r>
        <w:t xml:space="preserve"> names the pool Table 4 uses.</w:t>
      </w:r>
    </w:p>
    <w:p>
      <w:r>
        <w:rPr>
          <w:b/>
        </w:rPr>
        <w:t>What this section claims, and what it does not.</w:t>
      </w:r>
      <w:r>
        <w:t xml:space="preserve"> The rate below is the realization of the </w:t>
      </w:r>
      <w:r>
        <w:rPr>
          <w:rFonts w:ascii="Consolas" w:hAnsi="Consolas"/>
        </w:rPr>
        <w:t>val</w:t>
      </w:r>
      <w:r>
        <w:t xml:space="preserve">-selected premium on a disjoint split </w:t>
      </w:r>
      <w:r>
        <w:rPr>
          <w:b/>
        </w:rPr>
        <w:t>for the five arm-cells measured here, under the companion's protocol</w:t>
      </w:r>
      <w:r>
        <w:t xml:space="preserve"> — </w:t>
      </w:r>
      <w:r>
        <w:rPr>
          <w:b/>
        </w:rPr>
        <w:t>not a constant</w:t>
      </w:r>
      <w:r>
        <w:t xml:space="preserve">. The escalated cells reach a </w:t>
      </w:r>
      <w:r>
        <w:rPr>
          <w:b/>
        </w:rPr>
        <w:t>pooled 55 %</w:t>
      </w:r>
      <w:r>
        <w:t xml:space="preserve">, but the two batches are </w:t>
      </w:r>
      <w:r>
        <w:rPr>
          <w:b/>
        </w:rPr>
        <w:t>not pooled</w:t>
      </w:r>
      <w:r>
        <w:t xml:space="preserve"> (§8.1). "The convention realizes about a quarter of the </w:t>
      </w:r>
      <w:r>
        <w:rPr>
          <w:rFonts w:ascii="Consolas" w:hAnsi="Consolas"/>
        </w:rPr>
        <w:t>val</w:t>
      </w:r>
      <w:r>
        <w:t xml:space="preserve"> premium" would be false; "in these five cells, about a quarter survives" is what we measured.</w:t>
      </w:r>
    </w:p>
    <w:p>
      <w:r>
        <w:rPr>
          <w:b/>
        </w:rPr>
        <w:t>How much of the gain selected on `val` survives on `test`?</w:t>
      </w:r>
    </w:p>
    <w:p>
      <w:r>
        <w:rPr>
          <w:b/>
        </w:rPr>
        <w:t>Table 4.</w:t>
      </w:r>
      <w:r>
        <w:t xml:space="preserve"> The premium selected on </w:t>
      </w:r>
      <w:r>
        <w:rPr>
          <w:rFonts w:ascii="Consolas" w:hAnsi="Consolas"/>
        </w:rPr>
        <w:t>val</w:t>
      </w:r>
      <w:r>
        <w:t xml:space="preserve"> versus what that same selection action realizes on the disjoint </w:t>
      </w:r>
      <w:r>
        <w:rPr>
          <w:rFonts w:ascii="Consolas" w:hAnsi="Consolas"/>
        </w:rPr>
        <w:t>test</w:t>
      </w:r>
      <w:r>
        <w:t xml:space="preserve"> split, per arm-cell (</w:t>
      </w:r>
      <w:r>
        <w:rPr>
          <w:b/>
        </w:rPr>
        <w:t>an unbalanced pool</w:t>
      </w:r>
      <w:r>
        <w:t xml:space="preserve"> — two corpora contribute both arms, </w:t>
      </w:r>
      <w:r>
        <w:rPr>
          <w:rFonts w:ascii="Consolas" w:hAnsi="Consolas"/>
        </w:rPr>
        <w:t>aitod20</w:t>
      </w:r>
      <w:r>
        <w:t xml:space="preserve"> only its baseline — so the arm-cell is the unit). Source: the </w:t>
      </w:r>
      <w:r>
        <w:rPr>
          <w:b/>
        </w:rPr>
        <w:t>per-epoch `val` curves</w:t>
      </w:r>
      <w:r>
        <w:t xml:space="preserve"> (</w:t>
      </w:r>
      <w:r>
        <w:rPr>
          <w:rFonts w:ascii="Consolas" w:hAnsi="Consolas"/>
        </w:rPr>
        <w:t>results.csv</w:t>
      </w:r>
      <w:r>
        <w:t xml:space="preserve">, for </w:t>
      </w:r>
      <w:r>
        <w:rPr>
          <w:rFonts w:ascii="Consolas" w:hAnsi="Consolas"/>
        </w:rPr>
        <w:t>prem_val</w:t>
      </w:r>
      <w:r>
        <w:t xml:space="preserve">), </w:t>
      </w:r>
      <w:r>
        <w:rPr>
          <w:rFonts w:ascii="Consolas" w:hAnsi="Consolas"/>
        </w:rPr>
        <w:t>xeval_20260916/matrix.csv</w:t>
      </w:r>
      <w:r>
        <w:t>, and this revision's two batches (</w:t>
      </w:r>
      <w:r>
        <w:rPr>
          <w:rFonts w:ascii="Consolas" w:hAnsi="Consolas"/>
        </w:rPr>
        <w:t>x4_teval.csv</w:t>
      </w:r>
      <w:r>
        <w:t xml:space="preserve"> on A, </w:t>
      </w:r>
      <w:r>
        <w:rPr>
          <w:rFonts w:ascii="Consolas" w:hAnsi="Consolas"/>
        </w:rPr>
        <w:t>x4fill_20260925.csv</w:t>
      </w:r>
      <w:r>
        <w:t xml:space="preserve"> on B, for </w:t>
      </w:r>
      <w:r>
        <w:rPr>
          <w:rFonts w:ascii="Consolas" w:hAnsi="Consolas"/>
        </w:rPr>
        <w:t>prem_test</w:t>
      </w:r>
      <w:r>
        <w:t xml:space="preserve">). </w:t>
      </w:r>
      <w:r>
        <w:rPr>
          <w:b/>
        </w:rPr>
        <w:t>The §10 memory-pressure bound (defect 10) does not arise here</w:t>
      </w:r>
      <w:r>
        <w:t xml:space="preserve">: its hits are in §3.1's clean batch and §5.1's </w:t>
      </w:r>
      <w:r>
        <w:rPr>
          <w:rFonts w:ascii="Consolas" w:hAnsi="Consolas"/>
        </w:rPr>
        <w:t>p_vistod15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Cell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Arm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n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`prem_val`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**`prem_test`**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**realization rate**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shwd2sf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+1.469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**+0.736**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**50 %**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shwd2sf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strategy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+0.865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**+0.152**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**18 %**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smoke2sf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+0.691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**+0.509**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**74 %**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smoke2sf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strategy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+0.605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**−0.157**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**−26 %**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aitod20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**10**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**+0.766**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**−0.218**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**−28 %**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aitod20 **†**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**strategy**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**10**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**+1.111**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**−0.543**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sz w:val="20"/>
              </w:rPr>
              <w:t>**−49 %**</w:t>
            </w:r>
          </w:p>
        </w:tc>
      </w:tr>
    </w:tbl>
    <w:p>
      <w:r>
        <w:t xml:space="preserve">&gt; </w:t>
      </w:r>
      <w:r>
        <w:rPr>
          <w:b/>
        </w:rPr>
        <w:t>The inclusion rule, stated as a rule.</w:t>
      </w:r>
      <w:r>
        <w:t xml:space="preserve"> An arm-cell enters the pool </w:t>
      </w:r>
      <w:r>
        <w:rPr>
          <w:b/>
        </w:rPr>
        <w:t>iff its `test` side reached n ≥ 5</w:t>
      </w:r>
      <w:r>
        <w:t xml:space="preserve"> (</w:t>
      </w:r>
      <w:r>
        <w:rPr>
          <w:rFonts w:ascii="Consolas" w:hAnsi="Consolas"/>
        </w:rPr>
        <w:t>work/item2_final_v2_20260925.py</w:t>
      </w:r>
      <w:r>
        <w:t xml:space="preserve">), applied to every cell alike; </w:t>
      </w:r>
      <w:r>
        <w:rPr>
          <w:b/>
        </w:rPr>
        <w:t>exactly five met it at the 2026-09-25 freeze</w:t>
      </w:r>
      <w:r>
        <w:t xml:space="preserve"> (50 runs). The </w:t>
      </w:r>
      <w:r>
        <w:rPr>
          <w:rFonts w:ascii="Consolas" w:hAnsi="Consolas"/>
        </w:rPr>
        <w:t>aitod20</w:t>
      </w:r>
      <w:r>
        <w:t xml:space="preserve"> strategy row </w:t>
      </w:r>
      <w:r>
        <w:rPr>
          <w:b/>
        </w:rPr>
        <w:t>qualifies under the same rule but completed after the freeze</w:t>
      </w:r>
      <w:r>
        <w:t xml:space="preserve">, so it is printed here as the sixth row and kept out of the primary pool — </w:t>
      </w:r>
      <w:r>
        <w:rPr>
          <w:b/>
        </w:rPr>
        <w:t>the `†` row, and the only one</w:t>
      </w:r>
      <w:r>
        <w:t xml:space="preserve">; </w:t>
      </w:r>
      <w:r>
        <w:rPr>
          <w:b/>
        </w:rPr>
        <w:t>both readings are reported and both intervals cover zero</w:t>
      </w:r>
      <w:r>
        <w:t xml:space="preserve"> (Table S20's note, §8.6b).</w:t>
      </w:r>
    </w:p>
    <w:p>
      <w:r>
        <w:t xml:space="preserve">where </w:t>
      </w:r>
      <w:r>
        <w:rPr>
          <w:rFonts w:ascii="Consolas" w:hAnsi="Consolas"/>
        </w:rPr>
        <w:t>prem_val = V_max − V_final</w:t>
      </w:r>
      <w:r>
        <w:t xml:space="preserve"> (</w:t>
      </w:r>
      <w:r>
        <w:rPr>
          <w:b/>
        </w:rPr>
        <w:t>selecting on val</w:t>
      </w:r>
      <w:r>
        <w:t xml:space="preserve">) and </w:t>
      </w:r>
      <w:r>
        <w:rPr>
          <w:rFonts w:ascii="Consolas" w:hAnsi="Consolas"/>
        </w:rPr>
        <w:t>prem_test = T_best − T_final</w:t>
      </w:r>
      <w:r>
        <w:t xml:space="preserve"> (</w:t>
      </w:r>
      <w:r>
        <w:rPr>
          <w:b/>
        </w:rPr>
        <w:t>realized on test</w:t>
      </w:r>
      <w:r>
        <w:t>).</w:t>
      </w:r>
    </w:p>
    <w:p>
      <w:r>
        <w:rPr>
          <w:b/>
        </w:rPr>
        <w:t>The three bases</w:t>
      </w:r>
      <w:r>
        <w:t xml:space="preserve">: run-level </w:t>
      </w:r>
      <w:r>
        <w:rPr>
          <w:rFonts w:ascii="Consolas" w:hAnsi="Consolas"/>
        </w:rPr>
        <w:t>[8.4 %, 37.4 %]</w:t>
      </w:r>
      <w:r>
        <w:t xml:space="preserve">, </w:t>
      </w:r>
      <w:r>
        <w:rPr>
          <w:rFonts w:ascii="Consolas" w:hAnsi="Consolas"/>
        </w:rPr>
        <w:t>P = 0.002</w:t>
      </w:r>
      <w:r>
        <w:t xml:space="preserve">; five-cell </w:t>
      </w:r>
      <w:r>
        <w:rPr>
          <w:rFonts w:ascii="Consolas" w:hAnsi="Consolas"/>
        </w:rPr>
        <w:t>[−17.3 %, 53.2 %]</w:t>
      </w:r>
      <w:r>
        <w:t xml:space="preserve">, </w:t>
      </w:r>
      <w:r>
        <w:rPr>
          <w:rFonts w:ascii="Consolas" w:hAnsi="Consolas"/>
        </w:rPr>
        <w:t>P = 0.118</w:t>
      </w:r>
      <w:r>
        <w:t xml:space="preserve"> (claim-level, </w:t>
      </w:r>
      <w:r>
        <w:rPr>
          <w:b/>
        </w:rPr>
        <w:t>zero inside</w:t>
      </w:r>
      <w:r>
        <w:t xml:space="preserve">); eleven-cluster </w:t>
      </w:r>
      <w:r>
        <w:rPr>
          <w:rFonts w:ascii="Consolas" w:hAnsi="Consolas"/>
        </w:rPr>
        <w:t>[19.3 %, 60.4 %]</w:t>
      </w:r>
      <w:r>
        <w:t xml:space="preserve">, </w:t>
      </w:r>
      <w:r>
        <w:rPr>
          <w:rFonts w:ascii="Consolas" w:hAnsi="Consolas"/>
        </w:rPr>
        <w:t>P &lt; 0.001</w:t>
      </w:r>
      <w:r>
        <w:t xml:space="preserve"> (a bootstrap tail proportion </w:t>
      </w:r>
      <w:r>
        <w:rPr>
          <w:b/>
        </w:rPr>
        <w:t>at the 20,000-resample resolution</w:t>
      </w:r>
      <w:r>
        <w:t>, i.e. below the floor this procedure can print).</w:t>
      </w:r>
    </w:p>
    <w:p>
      <w:r>
        <w:rPr>
          <w:b/>
        </w:rPr>
        <w:t>Aggregate</w:t>
      </w:r>
      <w:r>
        <w:t xml:space="preserve"> (runs weighted equally, n = 50): </w:t>
      </w:r>
      <w:r>
        <w:rPr>
          <w:rFonts w:ascii="Consolas" w:hAnsi="Consolas"/>
        </w:rPr>
        <w:t>prem_val</w:t>
      </w:r>
      <w:r>
        <w:t xml:space="preserve"> </w:t>
      </w:r>
      <w:r>
        <w:rPr>
          <w:b/>
        </w:rPr>
        <w:t>+0.879 pp</w:t>
      </w:r>
      <w:r>
        <w:t xml:space="preserve"> → </w:t>
      </w:r>
      <w:r>
        <w:rPr>
          <w:rFonts w:ascii="Consolas" w:hAnsi="Consolas"/>
        </w:rPr>
        <w:t>prem_test</w:t>
      </w:r>
      <w:r>
        <w:t xml:space="preserve"> </w:t>
      </w:r>
      <w:r>
        <w:rPr>
          <w:b/>
        </w:rPr>
        <w:t>+0.205 pp</w:t>
      </w:r>
      <w:r>
        <w:t xml:space="preserve">. </w:t>
      </w:r>
      <w:r>
        <w:rPr>
          <w:b/>
        </w:rPr>
        <w:t>At the claim level this is not significant</w:t>
      </w:r>
      <w:r>
        <w:t xml:space="preserve">: the </w:t>
      </w:r>
      <w:r>
        <w:rPr>
          <w:b/>
        </w:rPr>
        <w:t>claim-level interval</w:t>
      </w:r>
      <w:r>
        <w:t xml:space="preserve"> is the cell-level, five-cluster one, </w:t>
      </w:r>
      <w:r>
        <w:rPr>
          <w:b/>
        </w:rPr>
        <w:t>[−17.3 %, 53.2 %]</w:t>
      </w:r>
      <w:r>
        <w:t xml:space="preserve">, </w:t>
      </w:r>
      <w:r>
        <w:rPr>
          <w:b/>
        </w:rPr>
        <w:t>P(rate ≤ 0) = 0.118</w:t>
      </w:r>
      <w:r>
        <w:t xml:space="preserve">, zero inside. Descriptively, arm-cell median </w:t>
      </w:r>
      <w:r>
        <w:rPr>
          <w:b/>
        </w:rPr>
        <w:t>17.6 %</w:t>
      </w:r>
      <w:r>
        <w:t xml:space="preserve"> and run-weighted </w:t>
      </w:r>
      <w:r>
        <w:rPr>
          <w:b/>
        </w:rPr>
        <w:t>23.3 %</w:t>
      </w:r>
      <w:r>
        <w:t xml:space="preserve"> (span </w:t>
      </w:r>
      <w:r>
        <w:rPr>
          <w:b/>
        </w:rPr>
        <w:t>2/5</w:t>
      </w:r>
      <w:r>
        <w:t xml:space="preserve"> negative: Table 4). On a difference scale the eleven clusters give </w:t>
      </w:r>
      <w:r>
        <w:rPr>
          <w:b/>
        </w:rPr>
        <w:t>−1.367 pp</w:t>
      </w:r>
      <w:r>
        <w:t xml:space="preserve">, 95 % CI </w:t>
      </w:r>
      <w:r>
        <w:rPr>
          <w:b/>
        </w:rPr>
        <w:t>[−1.59, −1.15]</w:t>
      </w:r>
      <w:r>
        <w:t xml:space="preserve"> (five-cell denominators </w:t>
      </w:r>
      <w:r>
        <w:rPr>
          <w:b/>
        </w:rPr>
        <w:t>+0.605 to +1.469 pp</w:t>
      </w:r>
      <w:r>
        <w:t xml:space="preserve">). Re-aggregated: run-weighted </w:t>
      </w:r>
      <w:r>
        <w:rPr>
          <w:b/>
        </w:rPr>
        <w:t>36.9 %</w:t>
      </w:r>
      <w:r>
        <w:t xml:space="preserve">, arm-cell-equal </w:t>
      </w:r>
      <w:r>
        <w:rPr>
          <w:b/>
        </w:rPr>
        <w:t>39.3 %</w:t>
      </w:r>
      <w:r>
        <w:t xml:space="preserve">, 95 % CI </w:t>
      </w:r>
      <w:r>
        <w:rPr>
          <w:b/>
        </w:rPr>
        <w:t>[19.3 %, 60.4 %]</w:t>
      </w:r>
      <w:r>
        <w:t xml:space="preserve"> — </w:t>
      </w:r>
      <w:r>
        <w:rPr>
          <w:b/>
        </w:rPr>
        <w:t>completing the cell, not the weighting, is what moves it</w:t>
      </w:r>
      <w:r>
        <w:t xml:space="preserve">: at n = 10 the three weightings agree, so </w:t>
      </w:r>
      <w:r>
        <w:rPr>
          <w:b/>
        </w:rPr>
        <w:t>the fragile axis is pool composition</w:t>
      </w:r>
      <w:r>
        <w:t xml:space="preserve">. </w:t>
      </w:r>
      <w:r>
        <w:rPr>
          <w:b/>
        </w:rPr>
        <w:t>Leave-one-out 9.77 % to 34.16 %.</w:t>
      </w:r>
      <w:r>
        <w:t xml:space="preserve"> In two arm-cells the selection action </w:t>
      </w:r>
      <w:r>
        <w:rPr>
          <w:b/>
        </w:rPr>
        <w:t>costs</w:t>
      </w:r>
      <w:r>
        <w:t xml:space="preserve"> rather than fails to pay off (</w:t>
      </w:r>
      <w:r>
        <w:rPr>
          <w:rFonts w:ascii="Consolas" w:hAnsi="Consolas"/>
        </w:rPr>
        <w:t>smoke2sf</w:t>
      </w:r>
      <w:r>
        <w:t xml:space="preserve"> strategy, </w:t>
      </w:r>
      <w:r>
        <w:rPr>
          <w:rFonts w:ascii="Consolas" w:hAnsi="Consolas"/>
        </w:rPr>
        <w:t>aitod20</w:t>
      </w:r>
      <w:r>
        <w:t xml:space="preserve"> baseline); the escalated cells of §5.1 are </w:t>
      </w:r>
      <w:r>
        <w:rPr>
          <w:b/>
        </w:rPr>
        <w:t>not pooled with these five</w:t>
      </w:r>
      <w:r>
        <w:t xml:space="preserve"> (different runs, different protocol). The closest concurrent work [12], the winner's-curse check, the withdrawn σ√(2 ln E) form and each cell's corpus pair: </w:t>
      </w:r>
      <w:r>
        <w:rPr>
          <w:b/>
        </w:rPr>
        <w:t>Supplementary S12</w:t>
      </w:r>
      <w:r>
        <w:t>.</w:t>
      </w:r>
    </w:p>
    <w:p>
      <w:r>
        <w:t xml:space="preserve">(the </w:t>
      </w:r>
      <w:r>
        <w:rPr>
          <w:rFonts w:ascii="Consolas" w:hAnsi="Consolas"/>
        </w:rPr>
        <w:t>best.pt</w:t>
      </w:r>
      <w:r>
        <w:t xml:space="preserve">-versus-argmax residual, our withdrawn attribution and why the remainder is </w:t>
      </w:r>
      <w:r>
        <w:rPr>
          <w:b/>
        </w:rPr>
        <w:t>unidentified</w:t>
      </w:r>
      <w:r>
        <w:t xml:space="preserve">: </w:t>
      </w:r>
      <w:r>
        <w:rPr>
          <w:b/>
        </w:rPr>
        <w:t>Supplementary S12</w:t>
      </w:r>
      <w:r>
        <w:t>.)</w:t>
      </w:r>
    </w:p>
    <w:p>
      <w:r>
        <w:t xml:space="preserve">The monotonicity is a correlation, not a causal claim, and at the arm-cell unit the nine-cluster reading is ρ = </w:t>
      </w:r>
      <w:r>
        <w:rPr>
          <w:b/>
        </w:rPr>
        <w:t>−0.433</w:t>
      </w:r>
      <w:r>
        <w:t xml:space="preserve"> (p = 0.244) — see </w:t>
      </w:r>
      <w:r>
        <w:rPr>
          <w:b/>
        </w:rPr>
        <w:t>Fig. 3</w:t>
      </w:r>
      <w:r>
        <w:t xml:space="preserve"> and </w:t>
      </w:r>
      <w:r>
        <w:rPr>
          <w:b/>
        </w:rPr>
        <w:t>Supplementary S12</w:t>
      </w:r>
      <w:r>
        <w:t xml:space="preserve">: the n = 80 are the 81 runs with a measured </w:t>
      </w:r>
      <w:r>
        <w:rPr>
          <w:rFonts w:ascii="Consolas" w:hAnsi="Consolas"/>
        </w:rPr>
        <w:t>test</w:t>
      </w:r>
      <w:r>
        <w:t xml:space="preserve"> side less the one whose </w:t>
      </w:r>
      <w:r>
        <w:rPr>
          <w:rFonts w:ascii="Consolas" w:hAnsi="Consolas"/>
        </w:rPr>
        <w:t>prem_val</w:t>
      </w:r>
      <w:r>
        <w:t xml:space="preserve"> is 0. It has a named precedent: [53] gives validation overfitting (VO) its name and bounds the expected best observed loss by E[min L] ≥ ν* − s_m√(2 log(Nq)), an optimism growing with the number of selection queries Nq.</w:t>
      </w:r>
    </w:p>
    <w:p>
      <w:r>
        <w:rPr>
          <w:b/>
        </w:rPr>
        <w:t>Recomputation status.</w:t>
      </w:r>
      <w:r>
        <w:t xml:space="preserve"> The readings were originally </w:t>
      </w:r>
      <w:r>
        <w:rPr>
          <w:b/>
        </w:rPr>
        <w:t>not locally recomputable</w:t>
      </w:r>
      <w:r>
        <w:t xml:space="preserve"> (the archive lacks 6 of 7 corpora; </w:t>
      </w:r>
      <w:r>
        <w:rPr>
          <w:b/>
        </w:rPr>
        <w:t>§10, defect 5</w:t>
      </w:r>
      <w:r>
        <w:t xml:space="preserve">); a GPU </w:t>
      </w:r>
      <w:r>
        <w:rPr>
          <w:b/>
        </w:rPr>
        <w:t>2 × 2 evaluation</w:t>
      </w:r>
      <w:r>
        <w:t xml:space="preserve"> on </w:t>
      </w:r>
      <w:r>
        <w:rPr>
          <w:b/>
        </w:rPr>
        <w:t>41</w:t>
      </w:r>
      <w:r>
        <w:t xml:space="preserve"> three-way runs of </w:t>
      </w:r>
      <w:r>
        <w:rPr>
          <w:b/>
        </w:rPr>
        <w:t>YOLOv12n [54]</w:t>
      </w:r>
      <w:r>
        <w:t xml:space="preserve"> × {</w:t>
      </w:r>
      <w:r>
        <w:rPr>
          <w:rFonts w:ascii="Consolas" w:hAnsi="Consolas"/>
        </w:rPr>
        <w:t>best</w:t>
      </w:r>
      <w:r>
        <w:t xml:space="preserve">, </w:t>
      </w:r>
      <w:r>
        <w:rPr>
          <w:rFonts w:ascii="Consolas" w:hAnsi="Consolas"/>
        </w:rPr>
        <w:t>last</w:t>
      </w:r>
      <w:r>
        <w:t>} × {</w:t>
      </w:r>
      <w:r>
        <w:rPr>
          <w:rFonts w:ascii="Consolas" w:hAnsi="Consolas"/>
        </w:rPr>
        <w:t>val</w:t>
      </w:r>
      <w:r>
        <w:t xml:space="preserve">, </w:t>
      </w:r>
      <w:r>
        <w:rPr>
          <w:rFonts w:ascii="Consolas" w:hAnsi="Consolas"/>
        </w:rPr>
        <w:t>test</w:t>
      </w:r>
      <w:r>
        <w:t xml:space="preserve">} makes them so, </w:t>
      </w:r>
      <w:r>
        <w:rPr>
          <w:b/>
        </w:rPr>
        <w:t>retraining not</w:t>
      </w:r>
      <w:r>
        <w:t xml:space="preserve">, reproducing the archived </w:t>
      </w:r>
      <w:r>
        <w:rPr>
          <w:rFonts w:ascii="Consolas" w:hAnsi="Consolas"/>
        </w:rPr>
        <w:t>best × test</w:t>
      </w:r>
      <w:r>
        <w:t xml:space="preserve"> values to within </w:t>
      </w:r>
      <w:r>
        <w:rPr>
          <w:b/>
        </w:rPr>
        <w:t>0.0047 pp</w:t>
      </w:r>
      <w:r>
        <w:t xml:space="preserve"> (median </w:t>
      </w:r>
      <w:r>
        <w:rPr>
          <w:b/>
        </w:rPr>
        <w:t>0.0021 pp</w:t>
      </w:r>
      <w:r>
        <w:t>) — the endpoint rule's positive control (</w:t>
      </w:r>
      <w:r>
        <w:rPr>
          <w:b/>
        </w:rPr>
        <w:t>Supplementary S12</w:t>
      </w:r>
      <w:r>
        <w:t>).</w:t>
      </w:r>
    </w:p>
    <w:p>
      <w:r>
        <w:rPr>
          <w:b/>
        </w:rPr>
        <w:t>Three limitations</w:t>
      </w:r>
      <w:r>
        <w:t xml:space="preserve">: ① in the </w:t>
      </w:r>
      <w:r>
        <w:rPr>
          <w:b/>
        </w:rPr>
        <w:t>41-run epoch sweep</w:t>
      </w:r>
      <w:r>
        <w:t xml:space="preserve"> only the two headline cells reach n = 10; </w:t>
      </w:r>
      <w:r>
        <w:rPr>
          <w:rFonts w:ascii="Consolas" w:hAnsi="Consolas"/>
        </w:rPr>
        <w:t>aitod20</w:t>
      </w:r>
      <w:r>
        <w:t xml:space="preserve"> contributes one run of 30 epochs and 6 checkpoints where others contribute </w:t>
      </w:r>
      <w:r>
        <w:rPr>
          <w:b/>
        </w:rPr>
        <w:t>20</w:t>
      </w:r>
      <w:r>
        <w:t xml:space="preserve"> (hence 806, not 820), its Table 4 arm-cell a separate n = 10 batch; ② </w:t>
      </w:r>
      <w:r>
        <w:rPr>
          <w:b/>
        </w:rPr>
        <w:t>closed: every retained checkpoint is now evaluated</w:t>
      </w:r>
      <w:r>
        <w:t xml:space="preserve">, the </w:t>
      </w:r>
      <w:r>
        <w:rPr>
          <w:i/>
        </w:rPr>
        <w:t>stability</w:t>
      </w:r>
      <w:r>
        <w:t xml:space="preserve"> reading is narrower than the grid; ③ κ is relative to each run's own final epoch, not causal. The 806-row evaluation is archived (</w:t>
      </w:r>
      <w:r>
        <w:rPr>
          <w:rFonts w:ascii="Consolas" w:hAnsi="Consolas"/>
        </w:rPr>
        <w:t>xeval_perepoch_20260918/</w:t>
      </w:r>
      <w:r>
        <w:t>, with a SHA-256 list).</w:t>
      </w:r>
    </w:p>
    <w:p>
      <w:r>
        <w:drawing>
          <wp:inline xmlns:a="http://schemas.openxmlformats.org/drawingml/2006/main" xmlns:pic="http://schemas.openxmlformats.org/drawingml/2006/picture">
            <wp:extent cx="3096000" cy="215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igma_vs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15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3.</w:t>
      </w:r>
      <w:r>
        <w:t xml:space="preserve"> Realization rate against the noise scale σ̂ of the run's own </w:t>
      </w:r>
      <w:r>
        <w:rPr>
          <w:rFonts w:ascii="Consolas" w:hAnsi="Consolas"/>
        </w:rPr>
        <w:t>val</w:t>
      </w:r>
      <w:r>
        <w:t xml:space="preserve"> curve, over </w:t>
      </w:r>
      <w:r>
        <w:rPr>
          <w:b/>
        </w:rPr>
        <w:t>80 runs</w:t>
      </w:r>
      <w:r>
        <w:t xml:space="preserve"> in three terciles of </w:t>
      </w:r>
      <w:r>
        <w:rPr>
          <w:b/>
        </w:rPr>
        <w:t>27 / 27 / 26</w:t>
      </w:r>
      <w:r>
        <w:t xml:space="preserve"> (nine-cluster Spearman ρ = </w:t>
      </w:r>
      <w:r>
        <w:rPr>
          <w:b/>
        </w:rPr>
        <w:t>−0.433</w:t>
      </w:r>
      <w:r>
        <w:t>, p = 0.244; the run-level reading is −0.466); dashed: rate = 1, dotted: §8.6's pooled reading.</w:t>
      </w:r>
    </w:p>
    <w:p>
      <w:r>
        <w:rPr>
          <w:b/>
        </w:rPr>
        <w:t>Pool composition — and why the claim does not turn on it.</w:t>
      </w:r>
      <w:r>
        <w:t xml:space="preserve"> Table 4 prints </w:t>
      </w:r>
      <w:r>
        <w:rPr>
          <w:b/>
        </w:rPr>
        <w:t>six</w:t>
      </w:r>
      <w:r>
        <w:t xml:space="preserve"> measured arm-cells; adding the sixth (</w:t>
      </w:r>
      <w:r>
        <w:rPr>
          <w:rFonts w:ascii="Consolas" w:hAnsi="Consolas"/>
        </w:rPr>
        <w:t>aitod20</w:t>
      </w:r>
      <w:r>
        <w:t xml:space="preserve"> </w:t>
      </w:r>
      <w:r>
        <w:rPr>
          <w:b/>
        </w:rPr>
        <w:t>strategy</w:t>
      </w:r>
      <w:r>
        <w:t xml:space="preserve">) moves the run-weighted rate </w:t>
      </w:r>
      <w:r>
        <w:rPr>
          <w:b/>
        </w:rPr>
        <w:t>23.3 % → 8.7 %</w:t>
      </w:r>
      <w:r>
        <w:t xml:space="preserve"> and the median </w:t>
      </w:r>
      <w:r>
        <w:rPr>
          <w:b/>
        </w:rPr>
        <w:t>+17.6 % → −4.2 %</w:t>
      </w:r>
      <w:r>
        <w:t xml:space="preserve">. </w:t>
      </w:r>
      <w:r>
        <w:rPr>
          <w:b/>
        </w:rPr>
        <w:t>The inclusion rule is a rule, not a per-cell choice</w:t>
      </w:r>
      <w:r>
        <w:t xml:space="preserve">: an arm-cell enters </w:t>
      </w:r>
      <w:r>
        <w:rPr>
          <w:b/>
        </w:rPr>
        <w:t>iff its `test` side reached n ≥ 5</w:t>
      </w:r>
      <w:r>
        <w:t xml:space="preserve">, and </w:t>
      </w:r>
      <w:r>
        <w:rPr>
          <w:b/>
        </w:rPr>
        <w:t>exactly five met it at the freeze</w:t>
      </w:r>
      <w:r>
        <w:t>, where all three weightings coincide (</w:t>
      </w:r>
      <w:r>
        <w:rPr>
          <w:b/>
        </w:rPr>
        <w:t>23.26 %</w:t>
      </w:r>
      <w:r>
        <w:t xml:space="preserve">). The sixth row </w:t>
      </w:r>
      <w:r>
        <w:rPr>
          <w:b/>
        </w:rPr>
        <w:t>qualifies but completed later</w:t>
      </w:r>
      <w:r>
        <w:t xml:space="preserve">, so it is the sensitivity. </w:t>
      </w:r>
      <w:r>
        <w:rPr>
          <w:b/>
        </w:rPr>
        <w:t>Every claim is interval-level and any scope gives the same verdict</w:t>
      </w:r>
      <w:r>
        <w:t xml:space="preserve"> — five-cell </w:t>
      </w:r>
      <w:r>
        <w:rPr>
          <w:b/>
        </w:rPr>
        <w:t>[−17.3 %, 53.2 %]</w:t>
      </w:r>
      <w:r>
        <w:t xml:space="preserve"> (P = 0.118), six-cell </w:t>
      </w:r>
      <w:r>
        <w:rPr>
          <w:b/>
        </w:rPr>
        <w:t>[−4.9 %, +21.3 %]</w:t>
      </w:r>
      <w:r>
        <w:t xml:space="preserve">, eleven-cluster </w:t>
      </w:r>
      <w:r>
        <w:rPr>
          <w:b/>
        </w:rPr>
        <w:t>[19.3 %, 60.4 %]</w:t>
      </w:r>
      <w:r>
        <w:t xml:space="preserve"> — the cell-level intervals </w:t>
      </w:r>
      <w:r>
        <w:rPr>
          <w:b/>
        </w:rPr>
        <w:t>both cover zero</w:t>
      </w:r>
      <w:r>
        <w:t xml:space="preserve">, so </w:t>
      </w:r>
      <w:r>
        <w:rPr>
          <w:b/>
        </w:rPr>
        <w:t>no conclusion depends on the pool boundary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8.7 The per-epoch view: the realization rate is not a constant</w:t>
      </w:r>
    </w:p>
    <w:p>
      <w:r>
        <w:drawing>
          <wp:inline xmlns:a="http://schemas.openxmlformats.org/drawingml/2006/main" xmlns:pic="http://schemas.openxmlformats.org/drawingml/2006/picture">
            <wp:extent cx="3096000" cy="1182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poch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18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4.</w:t>
      </w:r>
      <w:r>
        <w:t xml:space="preserve"> </w:t>
      </w:r>
      <w:r>
        <w:rPr>
          <w:b/>
        </w:rPr>
        <w:t>Left</w:t>
      </w:r>
      <w:r>
        <w:t xml:space="preserve">: mean </w:t>
      </w:r>
      <w:r>
        <w:rPr>
          <w:rFonts w:ascii="Consolas" w:hAnsi="Consolas"/>
        </w:rPr>
        <w:t>val</w:t>
      </w:r>
      <w:r>
        <w:t xml:space="preserve"> and </w:t>
      </w:r>
      <w:r>
        <w:rPr>
          <w:rFonts w:ascii="Consolas" w:hAnsi="Consolas"/>
        </w:rPr>
        <w:t>test</w:t>
      </w:r>
      <w:r>
        <w:t xml:space="preserve"> trajectories over 10 seeds, both headline cells (baseline solid, strategy dashed). </w:t>
      </w:r>
      <w:r>
        <w:rPr>
          <w:b/>
        </w:rPr>
        <w:t>Right</w:t>
      </w:r>
      <w:r>
        <w:t xml:space="preserve">: per-(seed, epoch) </w:t>
      </w:r>
      <w:r>
        <w:rPr>
          <w:rFonts w:ascii="Consolas" w:hAnsi="Consolas"/>
        </w:rPr>
        <w:t>val</w:t>
      </w:r>
      <w:r>
        <w:t xml:space="preserve"> movement against what transfers to </w:t>
      </w:r>
      <w:r>
        <w:rPr>
          <w:rFonts w:ascii="Consolas" w:hAnsi="Consolas"/>
        </w:rPr>
        <w:t>test</w:t>
      </w:r>
      <w:r>
        <w:t xml:space="preserve"> — the ratio is not taken (its denominator can vanish); the fit through the origin is </w:t>
      </w:r>
      <w:r>
        <w:rPr>
          <w:b/>
        </w:rPr>
        <w:t>κ = 0.708</w:t>
      </w:r>
      <w:r>
        <w:t xml:space="preserve"> (R² </w:t>
      </w:r>
      <w:r>
        <w:rPr>
          <w:b/>
        </w:rPr>
        <w:t>0.937</w:t>
      </w:r>
      <w:r>
        <w:t xml:space="preserve">, run-clustered 95 % CI </w:t>
      </w:r>
      <w:r>
        <w:rPr>
          <w:b/>
        </w:rPr>
        <w:t>[0.671, 0.745]</w:t>
      </w:r>
      <w:r>
        <w:t xml:space="preserve">; the title's </w:t>
      </w:r>
      <w:r>
        <w:rPr>
          <w:b/>
        </w:rPr>
        <w:t>0.734</w:t>
      </w:r>
      <w:r>
        <w:t xml:space="preserve"> is the earlier five-epoch grid).</w:t>
      </w:r>
    </w:p>
    <w:p>
      <w:r>
        <w:rPr>
          <w:b/>
        </w:rPr>
        <w:t>One metric self-correction first.</w:t>
      </w:r>
      <w:r>
        <w:t xml:space="preserve"> Our first version used </w:t>
      </w:r>
      <w:r>
        <w:rPr>
          <w:rFonts w:ascii="Consolas" w:hAnsi="Consolas"/>
        </w:rPr>
        <w:t>r(e) = ΔT(e)/ΔV(e)</w:t>
      </w:r>
      <w:r>
        <w:t xml:space="preserve">, producing values such as </w:t>
      </w:r>
      <w:r>
        <w:rPr>
          <w:b/>
        </w:rPr>
        <w:t>−860 % and +1031 %</w:t>
      </w:r>
      <w:r>
        <w:t xml:space="preserve">: at late epochs </w:t>
      </w:r>
      <w:r>
        <w:rPr>
          <w:rFonts w:ascii="Consolas" w:hAnsi="Consolas"/>
        </w:rPr>
        <w:t>V(e) ≈ V(final)</w:t>
      </w:r>
      <w:r>
        <w:t xml:space="preserve">, the </w:t>
      </w:r>
      <w:r>
        <w:rPr>
          <w:b/>
        </w:rPr>
        <w:t>denominator vanishing</w:t>
      </w:r>
      <w:r>
        <w:t xml:space="preserve"> — </w:t>
      </w:r>
      <w:r>
        <w:rPr>
          <w:b/>
        </w:rPr>
        <w:t>an ill-conditioned metric, not a finding.</w:t>
      </w:r>
      <w:r>
        <w:t xml:space="preserve"> We report only the non-dividing </w:t>
      </w:r>
      <w:r>
        <w:rPr>
          <w:rFonts w:ascii="Consolas" w:hAnsi="Consolas"/>
        </w:rPr>
        <w:t>ΔV(e) = V(e) − V(final)</w:t>
      </w:r>
      <w:r>
        <w:t xml:space="preserve"> and </w:t>
      </w:r>
      <w:r>
        <w:rPr>
          <w:rFonts w:ascii="Consolas" w:hAnsi="Consolas"/>
        </w:rPr>
        <w:t>ΔT(e) = T(e) − T(final)</w:t>
      </w:r>
      <w:r>
        <w:t>, summarized by the through-origin slope κ of ΔT on ΔV.</w:t>
      </w:r>
    </w:p>
    <w:p>
      <w:r>
        <w:t xml:space="preserve">&gt; </w:t>
      </w:r>
      <w:r>
        <w:rPr>
          <w:b/>
        </w:rPr>
        <w:t>Tables S21–S23</w:t>
      </w:r>
      <w:r>
        <w:t xml:space="preserve"> → Supplementary §S8.</w:t>
      </w:r>
    </w:p>
    <w:p>
      <w:r>
        <w:rPr>
          <w:b/>
        </w:rPr>
        <w:t>Slope κ</w:t>
      </w:r>
      <w:r>
        <w:t xml:space="preserve"> (how much of the movement on </w:t>
      </w:r>
      <w:r>
        <w:rPr>
          <w:rFonts w:ascii="Consolas" w:hAnsi="Consolas"/>
        </w:rPr>
        <w:t>val</w:t>
      </w:r>
      <w:r>
        <w:t xml:space="preserve"> transfers to </w:t>
      </w:r>
      <w:r>
        <w:rPr>
          <w:rFonts w:ascii="Consolas" w:hAnsi="Consolas"/>
        </w:rPr>
        <w:t>test</w:t>
      </w:r>
      <w:r>
        <w:t xml:space="preserve">). On the </w:t>
      </w:r>
      <w:r>
        <w:rPr>
          <w:b/>
        </w:rPr>
        <w:t>complete curve</w:t>
      </w:r>
      <w:r>
        <w:t xml:space="preserve"> —</w:t>
      </w:r>
    </w:p>
    <w:p>
      <w:r>
        <w:rPr>
          <w:b/>
        </w:rPr>
        <w:t>n = 765 (seed, epoch) points over the 41 runs</w:t>
      </w:r>
      <w:r>
        <w:t xml:space="preserve"> — </w:t>
      </w:r>
      <w:r>
        <w:rPr>
          <w:b/>
        </w:rPr>
        <w:t>κ = 0.708, R² 0.937</w:t>
      </w:r>
      <w:r>
        <w:t xml:space="preserve">, with a run-clustered (sandwich) 95 % CI </w:t>
      </w:r>
      <w:r>
        <w:rPr>
          <w:b/>
        </w:rPr>
        <w:t>[0.671, 0.745]</w:t>
      </w:r>
      <w:r>
        <w:t xml:space="preserve">; the within-run estimator gives </w:t>
      </w:r>
      <w:r>
        <w:rPr>
          <w:b/>
        </w:rPr>
        <w:t>0.698</w:t>
      </w:r>
      <w:r>
        <w:t xml:space="preserve">. </w:t>
      </w:r>
      <w:r>
        <w:rPr>
          <w:b/>
        </w:rPr>
        <w:t>Two controls (Table S43)</w:t>
      </w:r>
      <w:r>
        <w:t xml:space="preserve">: a per-run κ distribution, and a free-intercept fit whose </w:t>
      </w:r>
      <w:r>
        <w:rPr>
          <w:b/>
        </w:rPr>
        <w:t>intercept is indistinct from zero</w:t>
      </w:r>
      <w:r>
        <w:t xml:space="preserve"> — so the through-origin constraint is </w:t>
      </w:r>
      <w:r>
        <w:rPr>
          <w:b/>
        </w:rPr>
        <w:t>supported, not assumed</w:t>
      </w:r>
      <w:r>
        <w:t xml:space="preserve">. Across the curve </w:t>
      </w:r>
      <w:r>
        <w:rPr>
          <w:rFonts w:ascii="Consolas" w:hAnsi="Consolas"/>
        </w:rPr>
        <w:t>ΔV</w:t>
      </w:r>
      <w:r>
        <w:t xml:space="preserve"> reaches</w:t>
      </w:r>
    </w:p>
    <w:p>
      <w:r>
        <w:rPr>
          <w:b/>
        </w:rPr>
        <w:t>−8.1 pp</w:t>
      </w:r>
      <w:r>
        <w:t xml:space="preserve"> and about </w:t>
      </w:r>
      <w:r>
        <w:rPr>
          <w:b/>
        </w:rPr>
        <w:t>71 %</w:t>
      </w:r>
      <w:r>
        <w:t xml:space="preserve"> transfers: </w:t>
      </w:r>
      <w:r>
        <w:rPr>
          <w:b/>
        </w:rPr>
        <w:t>early-training progress is real progress.</w:t>
      </w:r>
      <w:r>
        <w:t xml:space="preserve"> §8.6's realized share measures the </w:t>
      </w:r>
      <w:r>
        <w:rPr>
          <w:b/>
        </w:rPr>
        <w:t>selection-relevant sliver</w:t>
      </w:r>
      <w:r>
        <w:t xml:space="preserve"> near the peak, where </w:t>
      </w:r>
      <w:r>
        <w:rPr>
          <w:rFonts w:ascii="Consolas" w:hAnsi="Consolas"/>
        </w:rPr>
        <w:t>ΔV</w:t>
      </w:r>
      <w:r>
        <w:t xml:space="preserve"> is of order </w:t>
      </w:r>
      <w:r>
        <w:rPr>
          <w:b/>
        </w:rPr>
        <w:t>±0.2 pp</w:t>
      </w:r>
      <w:r>
        <w:t xml:space="preserve"> — so</w:t>
      </w:r>
    </w:p>
    <w:p>
      <w:r>
        <w:rPr>
          <w:b/>
        </w:rPr>
        <w:t>"most of the movement on `val` transfers" and "the little extra gained by selecting near the peak does not" are both true</w:t>
      </w:r>
      <w:r>
        <w:t xml:space="preserve">, and the premium is the residual of the transfer rate. </w:t>
      </w:r>
      <w:r>
        <w:rPr>
          <w:b/>
        </w:rPr>
        <w:t>And κ is not constant across arms either — in the direction the selection account predicts</w:t>
      </w:r>
      <w:r>
        <w:t xml:space="preserve">: </w:t>
      </w:r>
      <w:r>
        <w:rPr>
          <w:b/>
        </w:rPr>
        <w:t>baseline κ = 0.600</w:t>
      </w:r>
      <w:r>
        <w:t xml:space="preserve"> ([0.581, 0.619]) against </w:t>
      </w:r>
      <w:r>
        <w:rPr>
          <w:b/>
        </w:rPr>
        <w:t>strategy κ = 0.767</w:t>
      </w:r>
      <w:r>
        <w:t xml:space="preserve"> ([0.735, 0.800]), difference</w:t>
      </w:r>
    </w:p>
    <w:p>
      <w:r>
        <w:rPr>
          <w:b/>
        </w:rPr>
        <w:t>+0.168, 95 % CI [+0.130, +0.203]</w:t>
      </w:r>
      <w:r>
        <w:t>.</w:t>
      </w:r>
    </w:p>
    <w:p>
      <w:r>
        <w:rPr>
          <w:b/>
        </w:rPr>
        <w:t>A second result, and a self-correction the curve forces</w:t>
      </w:r>
      <w:r>
        <w:t xml:space="preserve">: the sign-of-Δgap claim we wrote from four sampled epochs is </w:t>
      </w:r>
      <w:r>
        <w:rPr>
          <w:b/>
        </w:rPr>
        <w:t>too strong for one of the two cells</w:t>
      </w:r>
      <w:r>
        <w:t xml:space="preserve"> (on the complete curve </w:t>
      </w:r>
      <w:r>
        <w:rPr>
          <w:rFonts w:ascii="Consolas" w:hAnsi="Consolas"/>
        </w:rPr>
        <w:t>smoke2sf</w:t>
      </w:r>
      <w:r>
        <w:t xml:space="preserve"> starts negative) and is </w:t>
      </w:r>
      <w:r>
        <w:rPr>
          <w:b/>
        </w:rPr>
        <w:t>narrowed here</w:t>
      </w:r>
      <w:r>
        <w:t xml:space="preserve">; per-checkpoint values: </w:t>
      </w:r>
      <w:r>
        <w:rPr>
          <w:b/>
        </w:rPr>
        <w:t>Supplementary S11</w:t>
      </w:r>
      <w:r>
        <w:t>.</w:t>
      </w:r>
    </w:p>
    <w:p>
      <w:r>
        <w:rPr>
          <w:b/>
        </w:rPr>
        <w:t>The limitations of this section are in Supplementary S12.</w:t>
      </w:r>
    </w:p>
    <w:p>
      <w:pPr>
        <w:pStyle w:val="Heading2"/>
      </w:pPr>
      <w:r>
        <w:rPr>
          <w:rFonts w:ascii="Times New Roman" w:hAnsi="Times New Roman"/>
        </w:rPr>
        <w:t>9. The registered multi-target replication: reported in the companion paper</w:t>
      </w:r>
    </w:p>
    <w:p>
      <w:r>
        <w:rPr>
          <w:b/>
        </w:rPr>
        <w:t>First report, criterion and verdict stay with the companion paper; nothing here is a claim of this paper.</w:t>
      </w:r>
      <w:r>
        <w:t xml:space="preserve"> To read its registered table: ① it is a </w:t>
      </w:r>
      <w:r>
        <w:rPr>
          <w:b/>
        </w:rPr>
        <w:t>three-way split</w:t>
      </w:r>
      <w:r>
        <w:t xml:space="preserve"> (train / selection / report); ② it ran under the protocol then in force, where the </w:t>
      </w:r>
      <w:r>
        <w:rPr>
          <w:b/>
        </w:rPr>
        <w:t>`val` side aliases the `test` half</w:t>
      </w:r>
      <w:r>
        <w:t xml:space="preserve"> — the one fact §7 takes; ③ its criterion was frozen </w:t>
      </w:r>
      <w:r>
        <w:rPr>
          <w:b/>
        </w:rPr>
        <w:t>before any run existed</w:t>
      </w:r>
      <w:r>
        <w:t xml:space="preserve"> (FROZEN-HASH </w:t>
      </w:r>
      <w:r>
        <w:rPr>
          <w:rFonts w:ascii="Consolas" w:hAnsi="Consolas"/>
        </w:rPr>
        <w:t>6a7eee7b3e34b15ce5adcba14cf7ea36</w:t>
      </w:r>
      <w:r>
        <w:t xml:space="preserve">) and its verdict entered is </w:t>
      </w:r>
      <w:r>
        <w:rPr>
          <w:b/>
        </w:rPr>
        <w:t>"criterion not met"</w:t>
      </w:r>
      <w:r>
        <w:t xml:space="preserve">, deliberately </w:t>
      </w:r>
      <w:r>
        <w:rPr>
          <w:b/>
        </w:rPr>
        <w:t>not</w:t>
      </w:r>
      <w:r>
        <w:t xml:space="preserve"> "hypothesis refuted" — the companion reads the outcome as </w:t>
      </w:r>
      <w:r>
        <w:rPr>
          <w:b/>
        </w:rPr>
        <w:t>"direction replicates, size does not"</w:t>
      </w:r>
      <w:r>
        <w:t xml:space="preserve">. Record: </w:t>
      </w:r>
      <w:r>
        <w:rPr>
          <w:b/>
        </w:rPr>
        <w:t>Supplementary S24–S27</w:t>
      </w:r>
      <w:r>
        <w:t xml:space="preserve"> (source of truth: the companion's archive).</w:t>
      </w:r>
    </w:p>
    <w:p>
      <w:pPr>
        <w:pStyle w:val="Heading2"/>
      </w:pPr>
      <w:r>
        <w:rPr>
          <w:rFonts w:ascii="Times New Roman" w:hAnsi="Times New Roman"/>
        </w:rPr>
        <w:t>10. Our own defects (disclosed, not hidden)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55"/>
        <w:gridCol w:w="2155"/>
        <w:gridCol w:w="2155"/>
      </w:tblGrid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#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Defect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Handling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The clean-protocol results document **cites a ledger file that does not exist in the sense claimed**: neither `_r10_final_stats.txt` nor the "real log" `_r10_stats_0403.txt` holds **any** headline value (6 probes each, **0/6 hits**) ⇒ **no surviving stdout ledger**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**We do not point at a replacement file** (renaming would manufacture a new false citation); the text says **"no stdout ledger"**, and the p-values are recomputable from `pvalue_table_local.py`. Detail: §S12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~~the dota15 cell of `selection_premium.py` was not reproducible~~ → **fixed** (stale root directory; the matcher assumed a seed suffix the run names do not carry); it now **reproduces M3's +1.12/+0.95/+0.93 value by value**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Stated in §5.3; the "3 seeds" note was **retracted on 2026-09-21** — the third run's seed is s42, the campaign's fixed shuffle seed. Detail: §S12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**`sio_b_results.csv` has no written endpoint convention**: `t2_mask2mende_base100_s42n` is recorded as final (67.12) in one archive and best (70.06) in another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Stated in §7.3, with the consequence of each reading (significant versus not)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The two headline scripts **originally depended on a rented pod** (`import paramiko` plus a plaintext password) — a paper about evaluation validity whose own analysis is not reproducible from the release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**Fixed**: both now **read the local archive**; the main text uses the local versions and lists the pod versions as cross-checks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**One script now recomputes the σ decomposition** — the data-order and initialization components from the archived per-run values, each asserted against the printed number — but it can only **cite** the augmentation component, whose record holds an SD and no per-run values; **no frozen effect-size rule file**; **no script generates `benchmark_split_audit.md`** (hand-written, 28 judgments as literals, though its counts are recomputed)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The first is closed by script, with its one cited (not recomputed) component named; the other two stay labelled "manual / not archived"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The local archive **has no copy of 6 of the 7 corpora**, and of the three-way carve it holds **only the manifest** (`split_defs_20260916/`), not the other carve directories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**Partially repaired (2026-09-16, GPU run)**: the 41 runs' per-epoch curves, `sio_b_results.csv` and the **2 × 2 evaluation matrix** (164 evaluations) are now local; **retraining remains non-recomputable**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The audit document has **internal inconsistencies** (nine items, found by our own census)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Each adjudicated: **3 misreadings by the inventory, 4 real defects, 1 convention risk, 1 classification correction (§6.4)**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Our own corpora contain `val == test`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**That is this paper's argument**, not an embarrassment to be hidden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**Our first per-epoch report claimed curve-wide stability from a four-point sample**; the complete curve overturned it for one of the two cells (§8.7)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**Corrected in place, with the retracted sentence quoted**: the claim is **narrowed**, not deleted, and the grid's apparent uniformity is named as partly an artefact of where it sampled. Detail: §S12</w:t>
            </w:r>
          </w:p>
        </w:tc>
      </w:tr>
      <w:tr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**Memory pressure silently changes the training path**: under GPU memory pressure Ultralytics switches implementation **without changing the recorded configuration** — a batch reduction, or a fallback of label assignment to CPU that can fork the trajectory — and case (a) is **invisible in the standard artifacts**.</w:t>
            </w:r>
          </w:p>
        </w:tc>
        <w:tc>
          <w:tcPr>
            <w:tcW w:type="dxa" w:w="2155"/>
          </w:tcPr>
          <w:p>
            <w:pPr>
              <w:spacing w:line="240" w:lineRule="auto"/>
            </w:pPr>
            <w:r>
              <w:rPr>
                <w:sz w:val="20"/>
              </w:rPr>
              <w:t>**Disclosed, not retracted; we do not call the affected batches “clean”.** Configuration-level hits: **2** places, **4** runs. **A reproducibility residual, not an event size**: same-config repeats are **bit-identical** (**0.000 pp**, four pairs, same machine and day), while the quantity a bound would be about — archived run against clean re-run — is **0.000 / 0.020 / 0.150 / 0.000 pp** (**Table S41**), so **≤0.05 pp** holds only inside the clean E = 50 batch and is **not extrapolated**; without a no-event control the event effect is **unidentified** (such a control is itself **not reproducible across dates**, **0.440 pp**), and elsewhere it sits inside the zero-event-control spread. The one clear case is ΔVmax **+0.769 pp**. Event counts, per-run consequences and the log fingerprints are in **Supplementary S12 (defect 10)**.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11. Recommendations</w:t>
      </w:r>
    </w:p>
    <w:p>
      <w:r>
        <w:rPr>
          <w:b/>
        </w:rPr>
        <w:t>Four checks before reporting, each with the artifact that discharges it.</w:t>
      </w:r>
      <w:r>
        <w:t xml:space="preserve"> ① Are </w:t>
      </w:r>
      <w:r>
        <w:rPr>
          <w:rFonts w:ascii="Consolas" w:hAnsi="Consolas"/>
        </w:rPr>
        <w:t>val</w:t>
      </w:r>
      <w:r>
        <w:t xml:space="preserve"> and </w:t>
      </w:r>
      <w:r>
        <w:rPr>
          <w:rFonts w:ascii="Consolas" w:hAnsi="Consolas"/>
        </w:rPr>
        <w:t>test</w:t>
      </w:r>
      <w:r>
        <w:t xml:space="preserve"> the same source? Make it a </w:t>
      </w:r>
      <w:r>
        <w:rPr>
          <w:b/>
        </w:rPr>
        <w:t>hard pipeline check</w:t>
      </w:r>
      <w:r>
        <w:t xml:space="preserve"> on every dataset YAML (§4.2); the output is the resolved paths. ② If you must select on the reported split, say so and report a selection-free endpoint — </w:t>
      </w:r>
      <w:r>
        <w:rPr>
          <w:b/>
        </w:rPr>
        <w:t>the `final`-epoch endpoint, the only selection-free one this archive measures</w:t>
      </w:r>
      <w:r>
        <w:t xml:space="preserve"> — alongside — the step </w:t>
      </w:r>
      <w:r>
        <w:rPr>
          <w:b/>
        </w:rPr>
        <w:t>enlarges</w:t>
      </w:r>
      <w:r>
        <w:t xml:space="preserve"> the arm difference (§5.1). ③ State the test convention: below n = 6 a permutation test has no resolution; print the </w:t>
      </w:r>
      <w:r>
        <w:rPr>
          <w:rFonts w:ascii="Consolas" w:hAnsi="Consolas"/>
        </w:rPr>
        <w:t>2/2ⁿ</w:t>
      </w:r>
      <w:r>
        <w:t xml:space="preserve"> floor beside every p. ④ Declare the counting unit behind every count, as Table 3's header does.</w:t>
      </w:r>
    </w:p>
    <w:p>
      <w:r>
        <w:t xml:space="preserve">⑤ </w:t>
      </w:r>
      <w:r>
        <w:rPr>
          <w:b/>
        </w:rPr>
        <w:t>A plateau is a post-hoc candidate, not a rule we validate.</w:t>
      </w:r>
      <w:r>
        <w:t xml:space="preserve"> Weight averaging is established [55]; what is </w:t>
      </w:r>
      <w:r>
        <w:rPr>
          <w:i/>
        </w:rPr>
        <w:t>measured here</w:t>
      </w:r>
      <w:r>
        <w:t xml:space="preserve"> takes the </w:t>
      </w:r>
      <w:r>
        <w:rPr>
          <w:b/>
        </w:rPr>
        <w:t>mean of the ranked top-5 `val` epochs' readings</w:t>
      </w:r>
      <w:r>
        <w:t xml:space="preserve"> (a reading average, not a weight average), capturing </w:t>
      </w:r>
      <w:r>
        <w:rPr>
          <w:b/>
        </w:rPr>
        <w:t>70 %</w:t>
      </w:r>
      <w:r>
        <w:t xml:space="preserve"> of the realizable gain against the argmax's </w:t>
      </w:r>
      <w:r>
        <w:rPr>
          <w:b/>
        </w:rPr>
        <w:t>30 %</w:t>
      </w:r>
      <w:r>
        <w:t xml:space="preserve">, at the cost of </w:t>
      </w:r>
      <w:r>
        <w:rPr>
          <w:b/>
        </w:rPr>
        <w:t>0.73 pp</w:t>
      </w:r>
      <w:r>
        <w:t xml:space="preserve"> below the peak — a post-hoc reading of our own 40 runs, untested as an intervention. The per-rule table and the candidate mechanism are in </w:t>
      </w:r>
      <w:r>
        <w:rPr>
          <w:b/>
        </w:rPr>
        <w:t>Supplementary S11</w:t>
      </w:r>
      <w:r>
        <w:t>, Measurement 3.</w:t>
      </w:r>
    </w:p>
    <w:p>
      <w:pPr>
        <w:pStyle w:val="Heading2"/>
      </w:pPr>
      <w:r>
        <w:rPr>
          <w:rFonts w:ascii="Times New Roman" w:hAnsi="Times New Roman"/>
        </w:rPr>
        <w:t>12. Limitations</w:t>
      </w:r>
    </w:p>
    <w:p>
      <w:r>
        <w:t xml:space="preserve">- The audit reads </w:t>
      </w:r>
      <w:r>
        <w:rPr>
          <w:b/>
        </w:rPr>
        <w:t>split definitions</w:t>
      </w:r>
      <w:r>
        <w:t xml:space="preserve"> (YAML, README, paper text), </w:t>
      </w:r>
      <w:r>
        <w:rPr>
          <w:b/>
        </w:rPr>
        <w:t>no datasets downloaded</w:t>
      </w:r>
      <w:r>
        <w:t>.</w:t>
      </w:r>
    </w:p>
    <w:p>
      <w:r>
        <w:t xml:space="preserve">- For several benchmarks the "generic YOLO copy" is </w:t>
      </w:r>
      <w:r>
        <w:rPr>
          <w:b/>
        </w:rPr>
        <w:t>per-project</w:t>
      </w:r>
      <w:r>
        <w:t>, not canonical.</w:t>
      </w:r>
    </w:p>
    <w:p>
      <w:r>
        <w:t xml:space="preserve">- Under the </w:t>
      </w:r>
      <w:r>
        <w:rPr>
          <w:rFonts w:ascii="Consolas" w:hAnsi="Consolas"/>
        </w:rPr>
        <w:t>reported</w:t>
      </w:r>
      <w:r>
        <w:t xml:space="preserve"> unit, </w:t>
      </w:r>
      <w:r>
        <w:rPr>
          <w:b/>
        </w:rPr>
        <w:t>4 rows (AI-TOD, DIOR, Mendeley, D-Fire) are evidence-insufficient</w:t>
      </w:r>
      <w:r>
        <w:t xml:space="preserve">; we do not guess. Counts are </w:t>
      </w:r>
      <w:r>
        <w:rPr>
          <w:b/>
        </w:rPr>
        <w:t>row-equal over the 19</w:t>
      </w:r>
      <w:r>
        <w:t xml:space="preserve">, and the grading enters the </w:t>
      </w:r>
      <w:r>
        <w:rPr>
          <w:b/>
        </w:rPr>
        <w:t>error bar, not the count</w:t>
      </w:r>
      <w:r>
        <w:t xml:space="preserve"> (</w:t>
      </w:r>
      <w:r>
        <w:rPr>
          <w:b/>
        </w:rPr>
        <w:t>Table 3's second column</w:t>
      </w:r>
      <w:r>
        <w:t>).</w:t>
      </w:r>
    </w:p>
    <w:p>
      <w:r>
        <w:t>- Two evidentiary differences (pod versus local) are listed side by side.</w:t>
      </w:r>
    </w:p>
    <w:p>
      <w:r>
        <w:t xml:space="preserve">- The census is a </w:t>
      </w:r>
      <w:r>
        <w:rPr>
          <w:b/>
        </w:rPr>
        <w:t>literature/release survey</w:t>
      </w:r>
      <w:r>
        <w:t xml:space="preserve">, weaker than our </w:t>
      </w:r>
      <w:r>
        <w:rPr>
          <w:b/>
        </w:rPr>
        <w:t>self-measurement</w:t>
      </w:r>
      <w:r>
        <w:t xml:space="preserve"> (§3).</w:t>
      </w:r>
    </w:p>
    <w:p>
      <w:r>
        <w:t xml:space="preserve">- The </w:t>
      </w:r>
      <w:r>
        <w:rPr>
          <w:b/>
        </w:rPr>
        <w:t>difficulty/selection decomposition</w:t>
      </w:r>
      <w:r>
        <w:t xml:space="preserve"> (§5.6) covers </w:t>
      </w:r>
      <w:r>
        <w:rPr>
          <w:b/>
        </w:rPr>
        <w:t>2 of the 13 cells</w:t>
      </w:r>
      <w:r>
        <w:t xml:space="preserve"> (the headline two); the </w:t>
      </w:r>
      <w:r>
        <w:rPr>
          <w:b/>
        </w:rPr>
        <w:t>identity</w:t>
      </w:r>
      <w:r>
        <w:t xml:space="preserve"> behind it is checked on </w:t>
      </w:r>
      <w:r>
        <w:rPr>
          <w:b/>
        </w:rPr>
        <w:t>all 13</w:t>
      </w:r>
      <w:r>
        <w:t xml:space="preserve"> (</w:t>
      </w:r>
      <w:r>
        <w:rPr>
          <w:rFonts w:ascii="Consolas" w:hAnsi="Consolas"/>
        </w:rPr>
        <w:t>work/gap_mechanism_20260916.txt</w:t>
      </w:r>
      <w:r>
        <w:t>) — what is scoped is the decomposition, not the identity.</w:t>
      </w:r>
    </w:p>
    <w:p>
      <w:r>
        <w:t xml:space="preserve">- The intervention axis the headline comparisons use is </w:t>
      </w:r>
      <w:r>
        <w:rPr>
          <w:b/>
        </w:rPr>
        <w:t>`lr0` (`0.001 → 0.005`)</w:t>
      </w:r>
      <w:r>
        <w:t xml:space="preserve">; two further orthogonal axes were run, one reproducing, as on </w:t>
      </w:r>
      <w:r>
        <w:rPr>
          <w:rFonts w:ascii="Consolas" w:hAnsi="Consolas"/>
        </w:rPr>
        <w:t>lr0</w:t>
      </w:r>
      <w:r>
        <w:t xml:space="preserve">, the </w:t>
      </w:r>
      <w:r>
        <w:rPr>
          <w:b/>
        </w:rPr>
        <w:t>corpus-dependent character</w:t>
      </w:r>
      <w:r>
        <w:t xml:space="preserve"> of the shift (</w:t>
      </w:r>
      <w:r>
        <w:rPr>
          <w:b/>
        </w:rPr>
        <w:t>Supplementary S8</w:t>
      </w:r>
      <w:r>
        <w:t xml:space="preserve">, </w:t>
      </w:r>
      <w:r>
        <w:rPr>
          <w:b/>
        </w:rPr>
        <w:t>Table S40b</w:t>
      </w:r>
      <w:r>
        <w:t>); the cross-lineage probe is</w:t>
      </w:r>
    </w:p>
    <w:p>
      <w:r>
        <w:rPr>
          <w:b/>
        </w:rPr>
        <w:t>one detector, two corpora, and incomparable magnitudes</w:t>
      </w:r>
      <w:r>
        <w:t>.</w:t>
      </w:r>
    </w:p>
    <w:p>
      <w:r>
        <w:t xml:space="preserve">- </w:t>
      </w:r>
      <w:r>
        <w:rPr>
          <w:b/>
        </w:rPr>
        <w:t>Four disclosed uncertainties</w:t>
      </w:r>
      <w:r>
        <w:t xml:space="preserve"> bound our claims: the 19-row audit is </w:t>
      </w:r>
      <w:r>
        <w:rPr>
          <w:b/>
        </w:rPr>
        <w:t>single-rater</w:t>
      </w:r>
      <w:r>
        <w:t xml:space="preserve">; the log sample is a </w:t>
      </w:r>
      <w:r>
        <w:rPr>
          <w:b/>
        </w:rPr>
        <w:t>convenience sample</w:t>
      </w:r>
      <w:r>
        <w:t xml:space="preserve">; the GPU memory-pressure effect is </w:t>
      </w:r>
      <w:r>
        <w:rPr>
          <w:b/>
        </w:rPr>
        <w:t>bounded, not estimated</w:t>
      </w:r>
      <w:r>
        <w:t xml:space="preserve"> (</w:t>
      </w:r>
      <w:r>
        <w:rPr>
          <w:b/>
        </w:rPr>
        <w:t>≤0.05 pp</w:t>
      </w:r>
      <w:r>
        <w:t xml:space="preserve"> where same-config pairs can be compared, fresh replicates being bit-identical; cross-date comparisons carry a </w:t>
      </w:r>
      <w:r>
        <w:rPr>
          <w:b/>
        </w:rPr>
        <w:t>0.440 pp</w:t>
      </w:r>
      <w:r>
        <w:t xml:space="preserve"> drift); and the §8.3 replicates vary the </w:t>
      </w:r>
      <w:r>
        <w:rPr>
          <w:b/>
        </w:rPr>
        <w:t>training file order</w:t>
      </w:r>
      <w:r>
        <w:t xml:space="preserve">, not independent seeds. </w:t>
      </w:r>
      <w:r>
        <w:rPr>
          <w:b/>
        </w:rPr>
        <w:t>And, not as an uncertainty</w:t>
      </w:r>
      <w:r>
        <w:t xml:space="preserve">: </w:t>
      </w:r>
      <w:r>
        <w:rPr>
          <w:b/>
        </w:rPr>
        <w:t>no interval here folds into §8.6's rate</w:t>
      </w:r>
      <w:r>
        <w:t xml:space="preserve">. </w:t>
      </w:r>
      <w:r>
        <w:rPr>
          <w:b/>
        </w:rPr>
        <w:t>Supplementary S12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13. Conclusions</w:t>
      </w:r>
    </w:p>
    <w:p>
      <w:r>
        <w:t xml:space="preserve">A count is meaningless until its </w:t>
      </w:r>
      <w:r>
        <w:rPr>
          <w:b/>
        </w:rPr>
        <w:t>unit</w:t>
      </w:r>
      <w:r>
        <w:t xml:space="preserve"> is named: the same nineteen benchmarks answer differently under each declared unit (Fig. 1, Table 3), and re-tallying them after the 2026-10-09 first-party correction record moves the </w:t>
      </w:r>
      <w:r>
        <w:rPr>
          <w:b/>
        </w:rPr>
        <w:t>layer</w:t>
      </w:r>
      <w:r>
        <w:t xml:space="preserve"> units up and the </w:t>
      </w:r>
      <w:r>
        <w:rPr>
          <w:b/>
        </w:rPr>
        <w:t>package and report</w:t>
      </w:r>
      <w:r>
        <w:t xml:space="preserve"> units down (</w:t>
      </w:r>
      <w:r>
        <w:rPr>
          <w:b/>
        </w:rPr>
        <w:t>Table 3</w:t>
      </w:r>
      <w:r>
        <w:t xml:space="preserve">, Supplementary S12) — the </w:t>
      </w:r>
      <w:r>
        <w:rPr>
          <w:b/>
        </w:rPr>
        <w:t>majority</w:t>
      </w:r>
      <w:r>
        <w:t xml:space="preserve"> conclusion is unchanged (the weakest recomputed </w:t>
      </w:r>
      <w:r>
        <w:rPr>
          <w:b/>
        </w:rPr>
        <w:t>majority</w:t>
      </w:r>
      <w:r>
        <w:t xml:space="preserve"> is still </w:t>
      </w:r>
      <w:r>
        <w:rPr>
          <w:b/>
        </w:rPr>
        <w:t>10/19</w:t>
      </w:r>
      <w:r>
        <w:t xml:space="preserve">). Three findings stand. </w:t>
      </w:r>
      <w:r>
        <w:rPr>
          <w:b/>
        </w:rPr>
        <w:t>The most robust number is the transfer slope κ (§8.7): early `val` movement does transfer to `test`, and the premium is its residual.</w:t>
      </w:r>
      <w:r>
        <w:t xml:space="preserve"> The premium is positive in all four cells, the baseline gaining more, and the paired Δgap </w:t>
      </w:r>
      <w:r>
        <w:rPr>
          <w:b/>
        </w:rPr>
        <w:t>varies in sign</w:t>
      </w:r>
      <w:r>
        <w:t xml:space="preserve"> by corpus — so "the convention understates the effect" is not claimed. On five arm-cells at n = 10 it is realized on a disjoint split at </w:t>
      </w:r>
      <w:r>
        <w:rPr>
          <w:b/>
        </w:rPr>
        <w:t>23.3 %</w:t>
      </w:r>
      <w:r>
        <w:t xml:space="preserve"> (claim-level </w:t>
      </w:r>
      <w:r>
        <w:rPr>
          <w:b/>
        </w:rPr>
        <w:t>[−17.3 %, 53.2 %]</w:t>
      </w:r>
      <w:r>
        <w:t xml:space="preserve">, P(rate ≤ 0) = </w:t>
      </w:r>
      <w:r>
        <w:rPr>
          <w:b/>
        </w:rPr>
        <w:t>0.118</w:t>
      </w:r>
      <w:r>
        <w:t xml:space="preserve">). Two things do </w:t>
      </w:r>
      <w:r>
        <w:rPr>
          <w:b/>
        </w:rPr>
        <w:t>not</w:t>
      </w:r>
      <w:r>
        <w:t xml:space="preserve"> hold: the σ√(2 ln E) scaling was tested and </w:t>
      </w:r>
      <w:r>
        <w:rPr>
          <w:b/>
        </w:rPr>
        <w:t>withdrawn</w:t>
      </w:r>
      <w:r>
        <w:t xml:space="preserve">, and no power analysis was registered, so the nine </w:t>
      </w:r>
      <w:r>
        <w:rPr>
          <w:rFonts w:ascii="Consolas" w:hAnsi="Consolas"/>
        </w:rPr>
        <w:t>n = 3</w:t>
      </w:r>
      <w:r>
        <w:t xml:space="preserve"> cells stay descriptive. What we ask of a detection paper is narrow: </w:t>
      </w:r>
      <w:r>
        <w:rPr>
          <w:b/>
        </w:rPr>
        <w:t>name the counting unit, freeze in writing which checkpoint is reported, and state the interval at the claim's level.</w:t>
      </w:r>
      <w:r>
        <w:t xml:space="preserve"> First report is the companion's (§7.2).</w:t>
      </w:r>
    </w:p>
    <w:p>
      <w:pPr>
        <w:pStyle w:val="Heading2"/>
      </w:pPr>
      <w:r>
        <w:rPr>
          <w:rFonts w:ascii="Times New Roman" w:hAnsi="Times New Roman"/>
        </w:rPr>
        <w:t>Declarations</w:t>
      </w:r>
    </w:p>
    <w:p>
      <w:r>
        <w:t xml:space="preserve">- </w:t>
      </w:r>
      <w:r>
        <w:rPr>
          <w:b/>
        </w:rPr>
        <w:t>Data availability.</w:t>
      </w:r>
      <w:r>
        <w:t xml:space="preserve"> The </w:t>
      </w:r>
      <w:r>
        <w:rPr>
          <w:b/>
        </w:rPr>
        <w:t>seven experiment corpora are open</w:t>
      </w:r>
      <w:r>
        <w:t xml:space="preserve">; what the pack lacks is their </w:t>
      </w:r>
      <w:r>
        <w:rPr>
          <w:b/>
        </w:rPr>
        <w:t>images</w:t>
      </w:r>
      <w:r>
        <w:t xml:space="preserve">, so retraining is not recomputable (§10 defect 6). Separately, §5.5's </w:t>
      </w:r>
      <w:r>
        <w:rPr>
          <w:b/>
        </w:rPr>
        <w:t>third-party logs</w:t>
      </w:r>
      <w:r>
        <w:t xml:space="preserve"> are </w:t>
      </w:r>
      <w:r>
        <w:rPr>
          <w:b/>
        </w:rPr>
        <w:t>not redistributed</w:t>
      </w:r>
      <w:r>
        <w:t xml:space="preserve"> (hashes + pointers only), as </w:t>
      </w:r>
      <w:r>
        <w:rPr>
          <w:b/>
        </w:rPr>
        <w:t>5 of their 6 sources state no licence</w:t>
      </w:r>
      <w:r>
        <w:t xml:space="preserve">. The reproduction package — data files, the per-epoch matrix, verdict files and checkers, with their SHA-256 list in </w:t>
      </w:r>
      <w:r>
        <w:rPr>
          <w:rFonts w:ascii="Consolas" w:hAnsi="Consolas"/>
        </w:rPr>
        <w:t>MANIFEST_sha256.csv</w:t>
      </w:r>
      <w:r>
        <w:t xml:space="preserve"> — is openly available at </w:t>
      </w:r>
      <w:r>
        <w:rPr>
          <w:b/>
        </w:rPr>
        <w:t>https://github.com/YBP2005/P2.git</w:t>
      </w:r>
      <w:r>
        <w:t xml:space="preserve"> (accessed </w:t>
      </w:r>
      <w:r>
        <w:rPr>
          <w:b/>
        </w:rPr>
        <w:t>2026-10-11</w:t>
      </w:r>
      <w:r>
        <w:t>; the repository was recreated on 2026-10-10, and the released tree is the one that manifest describes).</w:t>
      </w:r>
    </w:p>
    <w:p>
      <w:r>
        <w:t xml:space="preserve">- </w:t>
      </w:r>
      <w:r>
        <w:rPr>
          <w:b/>
        </w:rPr>
        <w:t>Recomputability boundary.</w:t>
      </w:r>
      <w:r>
        <w:t xml:space="preserve"> Every reported number is recomputable from the released per-run artifacts </w:t>
      </w:r>
      <w:r>
        <w:rPr>
          <w:b/>
        </w:rPr>
        <w:t>without retraining</w:t>
      </w:r>
      <w:r>
        <w:t xml:space="preserve">, each with its script; </w:t>
      </w:r>
      <w:r>
        <w:rPr>
          <w:b/>
        </w:rPr>
        <w:t>three are not, and they are named</w:t>
      </w:r>
      <w:r>
        <w:t xml:space="preserve">: the corpora and carve directories the archive </w:t>
      </w:r>
      <w:r>
        <w:rPr>
          <w:b/>
        </w:rPr>
        <w:t>holds no copy of</w:t>
      </w:r>
      <w:r>
        <w:t xml:space="preserve"> (open corpora, images not in the pack; §10 defect 6), the conflicting-endpoint archives (§7.3), and the </w:t>
      </w:r>
      <w:r>
        <w:rPr>
          <w:rFonts w:ascii="Consolas" w:hAnsi="Consolas"/>
        </w:rPr>
        <w:t>aitod20</w:t>
      </w:r>
      <w:r>
        <w:t xml:space="preserve"> completion to n = 10.</w:t>
      </w:r>
    </w:p>
    <w:p>
      <w:r>
        <w:t xml:space="preserve">- </w:t>
      </w:r>
      <w:r>
        <w:rPr>
          <w:b/>
        </w:rPr>
        <w:t>Competing interests.</w:t>
      </w:r>
      <w:r>
        <w:t xml:space="preserve"> None declared.</w:t>
      </w:r>
    </w:p>
    <w:p>
      <w:r>
        <w:t xml:space="preserve">- </w:t>
      </w:r>
      <w:r>
        <w:rPr>
          <w:b/>
        </w:rPr>
        <w:t>One quantity, two spellings.</w:t>
      </w:r>
      <w:r>
        <w:t xml:space="preserve"> The n = 10 attainable floor is </w:t>
      </w:r>
      <w:r>
        <w:rPr>
          <w:b/>
        </w:rPr>
        <w:t>exactly 2/2¹⁰ = 0.001953</w:t>
      </w:r>
      <w:r>
        <w:t xml:space="preserve">; the tables use the exact value, the abstract writes </w:t>
      </w:r>
      <w:r>
        <w:rPr>
          <w:b/>
        </w:rPr>
        <w:t>0.002</w:t>
      </w:r>
      <w:r>
        <w:t>. Same floor, spelling only.</w:t>
      </w:r>
    </w:p>
    <w:p>
      <w:r>
        <w:t xml:space="preserve">- </w:t>
      </w:r>
      <w:r>
        <w:rPr>
          <w:b/>
        </w:rPr>
        <w:t>Reproducibility.</w:t>
      </w:r>
      <w:r>
        <w:t xml:space="preserve"> Every number points to a local artifact (</w:t>
      </w:r>
      <w:r>
        <w:rPr>
          <w:b/>
        </w:rPr>
        <w:t>artifact paths in this article and in the Supplementary are relative to the released `02_release_data/` directory</w:t>
      </w:r>
      <w:r>
        <w:t xml:space="preserve">); </w:t>
      </w:r>
      <w:r>
        <w:rPr>
          <w:b/>
        </w:rPr>
        <w:t>289 audit anchors</w:t>
      </w:r>
      <w:r>
        <w:t xml:space="preserve"> mechanically guard the claims, and six checkers (</w:t>
      </w:r>
      <w:r>
        <w:rPr>
          <w:rFonts w:ascii="Consolas" w:hAnsi="Consolas"/>
        </w:rPr>
        <w:t>audit_anchors_fupaper.py</w:t>
      </w:r>
      <w:r>
        <w:t xml:space="preserve">, </w:t>
      </w:r>
      <w:r>
        <w:rPr>
          <w:rFonts w:ascii="Consolas" w:hAnsi="Consolas"/>
        </w:rPr>
        <w:t>check_crosscite.py</w:t>
      </w:r>
      <w:r>
        <w:t xml:space="preserve">, </w:t>
      </w:r>
      <w:r>
        <w:rPr>
          <w:rFonts w:ascii="Consolas" w:hAnsi="Consolas"/>
        </w:rPr>
        <w:t>verify_pulled.py</w:t>
      </w:r>
      <w:r>
        <w:t xml:space="preserve">, </w:t>
      </w:r>
      <w:r>
        <w:rPr>
          <w:rFonts w:ascii="Consolas" w:hAnsi="Consolas"/>
        </w:rPr>
        <w:t>gap_mechanism_20260916.py</w:t>
      </w:r>
      <w:r>
        <w:t xml:space="preserve">, </w:t>
      </w:r>
      <w:r>
        <w:rPr>
          <w:rFonts w:ascii="Consolas" w:hAnsi="Consolas"/>
        </w:rPr>
        <w:t>verify_pr_forms_20260917.py</w:t>
      </w:r>
      <w:r>
        <w:t xml:space="preserve">, </w:t>
      </w:r>
      <w:r>
        <w:rPr>
          <w:rFonts w:ascii="Consolas" w:hAnsi="Consolas"/>
        </w:rPr>
        <w:t>verify_submission_pack_20260917.py</w:t>
      </w:r>
      <w:r>
        <w:t xml:space="preserve">) ship with the archive: </w:t>
      </w:r>
      <w:r>
        <w:rPr>
          <w:b/>
        </w:rPr>
        <w:t>one runs unaided for a holder of the archive; four are author-side gates; and the remaining one -- the anchor audit itself -- is partly runnable, checking 270 of the 289 anchors from the released copy alone (the other 19 need the authors working-tree inputs)</w:t>
      </w:r>
      <w:r>
        <w:t>. The archive is the one deposited above.</w:t>
      </w:r>
    </w:p>
    <w:p>
      <w:pPr>
        <w:pStyle w:val="Heading2"/>
      </w:pPr>
      <w:r>
        <w:rPr>
          <w:rFonts w:ascii="Times New Roman" w:hAnsi="Times New Roman"/>
        </w:rPr>
        <w:t>References</w:t>
      </w:r>
    </w:p>
    <w:p>
      <w:r>
        <w:t xml:space="preserve">&gt; </w:t>
      </w:r>
      <w:r>
        <w:rPr>
          <w:b/>
        </w:rPr>
        <w:t>Note on preprint citations.</w:t>
      </w:r>
      <w:r>
        <w:t xml:space="preserve"> Seventeen of the 55 entries give an arXiv edition; </w:t>
      </w:r>
      <w:r>
        <w:rPr>
          <w:b/>
        </w:rPr>
        <w:t>three</w:t>
      </w:r>
      <w:r>
        <w:t xml:space="preserve"> also name a peer-reviewed venue and </w:t>
      </w:r>
      <w:r>
        <w:rPr>
          <w:b/>
        </w:rPr>
        <w:t>fourteen</w:t>
      </w:r>
      <w:r>
        <w:t xml:space="preserve"> have none. Those fourteen cover four benchmark or dataset canonical releases, two methodological works and eight concurrent or tooling works; </w:t>
      </w:r>
      <w:r>
        <w:rPr>
          <w:b/>
        </w:rPr>
        <w:t>all are cited for positioning only</w:t>
      </w:r>
      <w:r>
        <w:t>, and every number comes from our own corpora or the third-party logs of §5.5. The full enumeration is in the supplement.</w:t>
      </w:r>
    </w:p>
    <w:p>
      <w:r>
        <w:t xml:space="preserve">[1] Z. Zou, K. Chen, Z. Shi, Y. Guo, J. Ye. "Object Detection in 20 Years: A Survey." </w:t>
      </w:r>
      <w:r>
        <w:rPr>
          <w:i/>
        </w:rPr>
        <w:t>Proceedings of the IEEE</w:t>
      </w:r>
      <w:r>
        <w:t xml:space="preserve"> 111(3):257-276 (2023). DOI 10.1109/JPROC.2023.3238524 [2] R. Guedes de Souza, A.R. Panisson. "Who Thinks Best Depends on How Long You Let Them: Budget-Dependent Rankings in LLM Evaluation." arXiv:2608.12150 (2026). [3] S. Kapoor, A. Narayanan. "Leakage and the reproducibility crisis in machine-learning-based science." </w:t>
      </w:r>
      <w:r>
        <w:rPr>
          <w:i/>
        </w:rPr>
        <w:t>Patterns</w:t>
      </w:r>
      <w:r>
        <w:t xml:space="preserve"> 4(9):100804 (2023). DOI 10.1016/j.patter.2023.100804 [4] B. Barz, J. Denzler. "Do We Train on Test Data? Purging CIFAR of Near-Duplicates." </w:t>
      </w:r>
      <w:r>
        <w:rPr>
          <w:i/>
        </w:rPr>
        <w:t>Journal of Imaging</w:t>
      </w:r>
      <w:r>
        <w:t xml:space="preserve"> 6(6):41 (2020). [5] G.C. Cawley, N.L.C. Talbot. "On Over-fitting in Model Selection and Subsequent Selection Bias in Performance Evaluation." </w:t>
      </w:r>
      <w:r>
        <w:rPr>
          <w:i/>
        </w:rPr>
        <w:t>Journal of Machine Learning Research</w:t>
      </w:r>
      <w:r>
        <w:t xml:space="preserve"> 11(70):2079–2107 (2010). [6] A. Apicella, F. Isgrò, A. Pollastro, R. Prevete. "Don't stop me now: How Validation Criteria Affect Checkpoint Selection and Early Stopping." arXiv:2602.22107v2 (2026). [7] J. Dodge, S. Gururangan, D. Card, R. Schwartz, N.A. Smith. "Show Your Work: Improved Reporting of Experimental Results." </w:t>
      </w:r>
      <w:r>
        <w:rPr>
          <w:i/>
        </w:rPr>
        <w:t>Proceedings of EMNLP-IJCNLP 2019</w:t>
      </w:r>
      <w:r>
        <w:t xml:space="preserve">, pp. 2185–2194. https://aclanthology.org/D19-1224/ [8] K. Gorman, S. Bedrick. "We Need to Talk about Standard Splits." </w:t>
      </w:r>
      <w:r>
        <w:rPr>
          <w:i/>
        </w:rPr>
        <w:t>Proceedings of the 57th Annual Meeting of the Association for Computational Linguistics</w:t>
      </w:r>
      <w:r>
        <w:t xml:space="preserve"> (ACL):2786–2791 (2019). DOI 10.18653/v1/P19-1267 [9] R. Reveles-Martínez, S. Burciaga-Sosa, J.M. Celaya-Padilla, S. Castro-Tapia, H. Luna-García, H. Morales-Magallanes, M.N. Regalado-Pérez, C. Landeros-Soriano, et al.. "Sequence-Aware Dataset Auditing for Leakage-Free Benchmarking of YOLO Detectors for Bottle Detection." </w:t>
      </w:r>
      <w:r>
        <w:rPr>
          <w:i/>
        </w:rPr>
        <w:t>Technologies</w:t>
      </w:r>
      <w:r>
        <w:t xml:space="preserve"> 14(9):531 (2026). [10] W. Ruangsang, P. Pramkeaw. "Cross-Dataset Evaluation of YOLOv8 for Unmanned Aerial Vehicle Fire and Smoke Detection: Benchmark Contamination, Zero-Shot Transfer, and Onboard Deployment on a Low-Cost Airframe." </w:t>
      </w:r>
      <w:r>
        <w:rPr>
          <w:i/>
        </w:rPr>
        <w:t>Drones</w:t>
      </w:r>
      <w:r>
        <w:t xml:space="preserve"> 10(8):635 (2026). [11] Y.K. Adimoolam, C. Poullis, M. Averkiou. "Data Leakage Detection and De-duplication in Large Scale Geospatial Image Datasets." </w:t>
      </w:r>
      <w:r>
        <w:rPr>
          <w:i/>
        </w:rPr>
        <w:t>CVPR</w:t>
      </w:r>
      <w:r>
        <w:t xml:space="preserve"> 2026 (Oral). https://openaccess.thecvf.com/content/CVPR2026/html/Adimoolam_Data_Leakage_Detection_and_De-duplication_in_Large_Scale_Geospatial_Image_CVPR_2026_paper.html [12] H. Suo, H. Wang, Y. Li. "Checkpoint Selection and Evaluation in EEG Emotion Recognition." arXiv:2607.27655 (2026). [13] Smith JE, Winkler RL. The optimizer's curse: skepticism and postdecision surprise in decision analysis. </w:t>
      </w:r>
      <w:r>
        <w:rPr>
          <w:i/>
        </w:rPr>
        <w:t>Management Science</w:t>
      </w:r>
      <w:r>
        <w:t xml:space="preserve"> </w:t>
      </w:r>
      <w:r>
        <w:rPr>
          <w:b/>
        </w:rPr>
        <w:t>52</w:t>
      </w:r>
      <w:r>
        <w:t xml:space="preserve">(3):311–322, 2006. doi:10.1287/mnsc.1050.0451. [14] M. R. R. Roktim. "When Is a Molecule a Duplicate? Identity Policy Determines What a Benchmark Audit Finds." </w:t>
      </w:r>
      <w:r>
        <w:rPr>
          <w:i/>
        </w:rPr>
        <w:t>ChemRxiv</w:t>
      </w:r>
      <w:r>
        <w:t xml:space="preserve"> preprint (2026). DOI 10.26434/chemrxiv.15009099/v1 [15] S. Roth. "Which Leakage Types Matter? A Quantitative Landscape Across 2,047 Benchmark Datasets." arXiv:2604.04199 (2026). [16] G. Jocher, A. Chaurasia, J. Qiu. </w:t>
      </w:r>
      <w:r>
        <w:rPr>
          <w:i/>
        </w:rPr>
        <w:t>Ultralytics YOLO</w:t>
      </w:r>
      <w:r>
        <w:t xml:space="preserve"> (v8.4.120) [computer software] (2023; pinned release 2026). https://github.com/ultralytics/ultralytics (accessed 2026-09-12); the same project's official course states the split-independence rule normatively: Ultralytics Academy, "Splits that Tell the Truth," https://academy.ultralytics.com/courses/computer-vision-foundations/splits-that-tell-the-truth (accessed 2026-09-26). [verified: software release tagged v8.4.120 as used in this study] [17] B. Recht, R. Roelofs, L. Schmidt, V. Shankar. "Do ImageNet Classifiers Generalize to ImageNet?" </w:t>
      </w:r>
      <w:r>
        <w:rPr>
          <w:i/>
        </w:rPr>
        <w:t>Proceedings of the 36th International Conference on Machine Learning</w:t>
      </w:r>
      <w:r>
        <w:t xml:space="preserve">, PMLR </w:t>
      </w:r>
      <w:r>
        <w:rPr>
          <w:b/>
        </w:rPr>
        <w:t>97</w:t>
      </w:r>
      <w:r>
        <w:t xml:space="preserve">:5389–5400 (2019). [18] G. Zhang, K. Zhao. "Winning by Peeking: Unenforced Budgets and Test-Set Selection Inflate Short-Budget AutoML Comparisons." arXiv:2608.07303 (2026). [19] Taylor J, Tibshirani RJ. Statistical learning and selective inference. </w:t>
      </w:r>
      <w:r>
        <w:rPr>
          <w:i/>
        </w:rPr>
        <w:t>Proceedings of the National Academy of Sciences</w:t>
      </w:r>
      <w:r>
        <w:t xml:space="preserve"> </w:t>
      </w:r>
      <w:r>
        <w:rPr>
          <w:b/>
        </w:rPr>
        <w:t>112</w:t>
      </w:r>
      <w:r>
        <w:t xml:space="preserve">(25):7629–7634, 2015. doi:10.1073/pnas.1507583112. [20] Benjamini Y, Yekutieli D. False discovery rate–adjusted multiple confidence intervals for selected parameters. </w:t>
      </w:r>
      <w:r>
        <w:rPr>
          <w:i/>
        </w:rPr>
        <w:t>Journal of the American Statistical Association</w:t>
      </w:r>
      <w:r>
        <w:t xml:space="preserve"> </w:t>
      </w:r>
      <w:r>
        <w:rPr>
          <w:b/>
        </w:rPr>
        <w:t>100</w:t>
      </w:r>
      <w:r>
        <w:t xml:space="preserve">(469):71–81, 2005. doi:10.1198/016214504000001907. [21] M. Everingham, L. Van Gool, C.K.I. Williams, J. Winn, A. Zisserman. "The Pascal Visual Object Classes (VOC) Challenge." </w:t>
      </w:r>
      <w:r>
        <w:rPr>
          <w:i/>
        </w:rPr>
        <w:t>International Journal of Computer Vision</w:t>
      </w:r>
      <w:r>
        <w:t xml:space="preserve"> 88(2):303-338 (2009). [22] Kaggle data record, "Face mask detection" (CC0; 853 images, 3 classes, PASCAL-VOC XML): https://www.kaggle.com/datasets/andrewmvd/face-mask-detection . No DataCite or Mendeley Data record carries this title (sweep, 2026-10-09). [23] J. Dodge, G. Ilharco, R. Schwartz, A. Farhadi, H. Hajishirzi, N. Smith. "Fine-Tuning Pretrained Language Models: Weight Initializations, Data Orders, and Early Stopping." arXiv:2002.06305 (2020). DOI 10.48550/arXiv.2002.06305 [24] X. Bouthillier, P. Delaunay, M. Bronzi, A. Trofimov, B. Nichyporuk, J. Szeto, N. Sepah, E. Raff, et al. "Accounting for Variance in Machine Learning Benchmarks." arXiv:2103.03098 (2021). DOI 10.48550/arXiv.2103.03098 [25] B.L. Welch. "The Generalization of 'Student's' Problem when Several Different Population Variances are Involved." </w:t>
      </w:r>
      <w:r>
        <w:rPr>
          <w:i/>
        </w:rPr>
        <w:t>Biometrika</w:t>
      </w:r>
      <w:r>
        <w:t xml:space="preserve"> 34(1/2):28 (1947). [26] K. Kann, K. Cho, S.R. Bowman. "Towards Realistic Practices In Low-Resource Natural Language Processing: The Development Set." </w:t>
      </w:r>
      <w:r>
        <w:rPr>
          <w:i/>
        </w:rPr>
        <w:t>Proceedings of EMNLP-IJCNLP 2019</w:t>
      </w:r>
      <w:r>
        <w:t xml:space="preserve">; arXiv:1909.01522 (2019). [27] R. Roelofs, V. Shankar, B. Recht, S. Fridovich-Keil, M. Hardt, J. Miller, L. Schmidt. "A Meta-Analysis of Overfitting in Machine Learning." </w:t>
      </w:r>
      <w:r>
        <w:rPr>
          <w:i/>
        </w:rPr>
        <w:t>Advances in Neural Information Processing Systems</w:t>
      </w:r>
      <w:r>
        <w:t xml:space="preserve"> </w:t>
      </w:r>
      <w:r>
        <w:rPr>
          <w:b/>
        </w:rPr>
        <w:t>32</w:t>
      </w:r>
      <w:r>
        <w:t xml:space="preserve">:9179-9189 (2019). [28] Y. Benjamini, Y. Hochberg. "Controlling the False Discovery Rate: A Practical and Powerful Approach to Multiple Testing." </w:t>
      </w:r>
      <w:r>
        <w:rPr>
          <w:i/>
        </w:rPr>
        <w:t>Journal of the Royal Statistical Society Series B: Statistical Methodology</w:t>
      </w:r>
      <w:r>
        <w:t xml:space="preserve"> 57(1):289-300 (1995). [29] </w:t>
      </w:r>
      <w:r>
        <w:rPr>
          <w:i/>
        </w:rPr>
        <w:t>YOLOX</w:t>
      </w:r>
      <w:r>
        <w:t xml:space="preserve"> [computer software]. https://github.com/Megvii-BaseDetection/YOLOX (pinned at commit </w:t>
      </w:r>
      <w:r>
        <w:rPr>
          <w:rFonts w:ascii="Consolas" w:hAnsi="Consolas"/>
        </w:rPr>
        <w:t>6ddff4824372</w:t>
      </w:r>
      <w:r>
        <w:t xml:space="preserve">, branch </w:t>
      </w:r>
      <w:r>
        <w:rPr>
          <w:rFonts w:ascii="Consolas" w:hAnsi="Consolas"/>
        </w:rPr>
        <w:t>main</w:t>
      </w:r>
      <w:r>
        <w:t xml:space="preserve">, accessed 2026-09-16). [30] </w:t>
      </w:r>
      <w:r>
        <w:rPr>
          <w:i/>
        </w:rPr>
        <w:t>Detectron2</w:t>
      </w:r>
      <w:r>
        <w:t xml:space="preserve"> [computer software]. https://github.com/facebookresearch/detectron2 (pinned at commit </w:t>
      </w:r>
      <w:r>
        <w:rPr>
          <w:rFonts w:ascii="Consolas" w:hAnsi="Consolas"/>
        </w:rPr>
        <w:t>a2f4a8771ab7</w:t>
      </w:r>
      <w:r>
        <w:t xml:space="preserve">, branch </w:t>
      </w:r>
      <w:r>
        <w:rPr>
          <w:rFonts w:ascii="Consolas" w:hAnsi="Consolas"/>
        </w:rPr>
        <w:t>main</w:t>
      </w:r>
      <w:r>
        <w:t xml:space="preserve">, accessed 2026-09-16). [31] </w:t>
      </w:r>
      <w:r>
        <w:rPr>
          <w:i/>
        </w:rPr>
        <w:t>MMDetection</w:t>
      </w:r>
      <w:r>
        <w:t xml:space="preserve"> [computer software]. https://github.com/open-mmlab/mmdetection (pinned at commit </w:t>
      </w:r>
      <w:r>
        <w:rPr>
          <w:rFonts w:ascii="Consolas" w:hAnsi="Consolas"/>
        </w:rPr>
        <w:t>cfd5d3a985b0</w:t>
      </w:r>
      <w:r>
        <w:t xml:space="preserve">, branch </w:t>
      </w:r>
      <w:r>
        <w:rPr>
          <w:rFonts w:ascii="Consolas" w:hAnsi="Consolas"/>
        </w:rPr>
        <w:t>main</w:t>
      </w:r>
      <w:r>
        <w:t xml:space="preserve">, accessed 2026-09-16). [32] </w:t>
      </w:r>
      <w:r>
        <w:rPr>
          <w:i/>
        </w:rPr>
        <w:t>DETR</w:t>
      </w:r>
      <w:r>
        <w:t xml:space="preserve"> [computer software]. https://github.com/facebookresearch/detr (pinned at commit </w:t>
      </w:r>
      <w:r>
        <w:rPr>
          <w:rFonts w:ascii="Consolas" w:hAnsi="Consolas"/>
        </w:rPr>
        <w:t>29901c51d7fe</w:t>
      </w:r>
      <w:r>
        <w:t xml:space="preserve">, branch </w:t>
      </w:r>
      <w:r>
        <w:rPr>
          <w:rFonts w:ascii="Consolas" w:hAnsi="Consolas"/>
        </w:rPr>
        <w:t>main</w:t>
      </w:r>
      <w:r>
        <w:t xml:space="preserve">, accessed 2026-09-16). [33] </w:t>
      </w:r>
      <w:r>
        <w:rPr>
          <w:i/>
        </w:rPr>
        <w:t>PaddleDetection</w:t>
      </w:r>
      <w:r>
        <w:t xml:space="preserve"> [computer software]. https://github.com/PaddlePaddle/PaddleDetection (pinned at commit </w:t>
      </w:r>
      <w:r>
        <w:rPr>
          <w:rFonts w:ascii="Consolas" w:hAnsi="Consolas"/>
        </w:rPr>
        <w:t>b25522a0f4bd</w:t>
      </w:r>
      <w:r>
        <w:t xml:space="preserve">, branch </w:t>
      </w:r>
      <w:r>
        <w:rPr>
          <w:rFonts w:ascii="Consolas" w:hAnsi="Consolas"/>
        </w:rPr>
        <w:t>release/2.9</w:t>
      </w:r>
      <w:r>
        <w:t xml:space="preserve">, accessed 2026-09-16). [34] Tsung-Yi Lin, Michael Maire, Serge Belongie, Lubomir Bourdev, Ross Girshick, James Hays, Pietro Perona, Deva Ramanan, C. Lawrence Zitnick, Piotr Dollár. "Microsoft COCO: Common Objects in Context." arXiv:1405.0312 (2014). DOI 10.48550/arXiv.1405.0312 [35] S. Shao, Z. Li, T. Zhang, C. Peng, G. Yu, X. Zhang, J. Li, J. Sun. "Objects365: A Large-Scale, High-Quality Dataset for Object Detection." </w:t>
      </w:r>
      <w:r>
        <w:rPr>
          <w:i/>
        </w:rPr>
        <w:t>2019 IEEE/CVF International Conference on Computer Vision (ICCV)</w:t>
      </w:r>
      <w:r>
        <w:t xml:space="preserve"> 8429-8438 (2019). [36] A. Kuznetsova, H. Rom, N. Alldrin, J. Uijlings, I. Krasin, J. Pont-Tuset, S. Kamali, S. Popov, et al.. "The Open Images Dataset V4." </w:t>
      </w:r>
      <w:r>
        <w:rPr>
          <w:i/>
        </w:rPr>
        <w:t>International Journal of Computer Vision</w:t>
      </w:r>
      <w:r>
        <w:t xml:space="preserve"> 128(7):1956-1981 (2020). [37] G.-S. Xia, X. Bai, J. Ding, et al. "DOTA: a large-scale dataset for object detection in aerial images." </w:t>
      </w:r>
      <w:r>
        <w:rPr>
          <w:i/>
        </w:rPr>
        <w:t>CVPR</w:t>
      </w:r>
      <w:r>
        <w:t xml:space="preserve"> 2018, pp. 3974-3983. DOI 10.1109/CVPR.2018.00418. [38] P. Zhu, L. Wen, D. Du, et al. "Detection and tracking meet drones challenge." </w:t>
      </w:r>
      <w:r>
        <w:rPr>
          <w:i/>
        </w:rPr>
        <w:t>IEEE TPAMI</w:t>
      </w:r>
      <w:r>
        <w:t xml:space="preserve"> 44(11):7380-7399 (2022). DOI 10.1109/TPAMI.2021.3119563. (VisDrone.) [39] J. Wang, W. Yang, H. Guo, R. Zhang, G.S. Xia. "Tiny Object Detection in Aerial Images." </w:t>
      </w:r>
      <w:r>
        <w:rPr>
          <w:i/>
        </w:rPr>
        <w:t>2020 25th International Conference on Pattern Recognition (ICPR)</w:t>
      </w:r>
      <w:r>
        <w:t xml:space="preserve"> 3791-3798 (2021). DOI 10.1109/icpr48806.2021.9413340 [40] D. Du, Y. Qi, H. Yu, Y. Yang, K. Duan, G. Li, W. Zhang, Q. Huang, et al.. "The Unmanned Aerial Vehicle Benchmark: Object Detection and Tracking." </w:t>
      </w:r>
      <w:r>
        <w:rPr>
          <w:i/>
        </w:rPr>
        <w:t>Lecture Notes in Computer Science</w:t>
      </w:r>
      <w:r>
        <w:t xml:space="preserve"> 375-391 (2018). DOI 10.1007/978-3-030-01249-6_23 [41] Darius Lam, Richard Kuzma, Kevin McGee, Samuel Dooley, Michael Laielli, Matthew Klaric, Yaroslav Bulatov, Brendan McCord. "xView: Objects in Context in Overhead Imagery." arXiv:1802.07856 (2018). DOI 10.48550/arXiv.1802.07856 [42] Ke Li, Gang Wan, Gong Cheng, Liqiu Meng, Junwei Han. "Object Detection in Optical Remote Sensing Images: A Survey and A New Benchmark." arXiv:1909.00133 (2019). DOI 10.48550/arXiv.1909.00133 (DIOR benchmark) [43] G. Cheng, J. Han, P. Zhou, L. Guo. "Multi-class geospatial object detection and geographic image classification based on collection of part detectors." </w:t>
      </w:r>
      <w:r>
        <w:rPr>
          <w:i/>
        </w:rPr>
        <w:t>ISPRS Journal of Photogrammetry and Remote Sensing</w:t>
      </w:r>
      <w:r>
        <w:t xml:space="preserve"> 98:119-132 (2014). [44] Xu et al. "Detection of safety helmet wearing based on improved SSD." </w:t>
      </w:r>
      <w:r>
        <w:rPr>
          <w:i/>
        </w:rPr>
        <w:t>Journal of Physics: Conference Series</w:t>
      </w:r>
      <w:r>
        <w:t xml:space="preserve"> (2019). Dataset: https://github.com/njvisionpower/Safety-Helmet-Wearing-Dataset [45] Fusheng Yu, Jiang Li, Xiaoping Wang, Shaojin Wu, Junjie Zhang, Zhigang Zeng. "Large, Complex, and Realistic Safety Clothing and Helmet Detection: Dataset and Method." arXiv:2306.02098 (2023); journal version in </w:t>
      </w:r>
      <w:r>
        <w:rPr>
          <w:i/>
        </w:rPr>
        <w:t>IEEE Transactions on Instrumentation and Measurement</w:t>
      </w:r>
      <w:r>
        <w:t xml:space="preserve"> (2024). DOI 10.48550/arXiv.2306.02098 (SFCHD / SFCHD-SCALE) [46] S. Ge, J. Li, et al. "Detecting masked faces in the wild with LLE-CNNs." </w:t>
      </w:r>
      <w:r>
        <w:rPr>
          <w:i/>
        </w:rPr>
        <w:t>CVPR</w:t>
      </w:r>
      <w:r>
        <w:t xml:space="preserve"> 2017, pp. 426-434. DOI 10.1109/CVPR.2017.53. (Cited only to delimit the MAFA packaging difference.) [47] S. Yang, P. Luo, C.C. Loy, X. Tang. "WIDER FACE: A Face Detection Benchmark." </w:t>
      </w:r>
      <w:r>
        <w:rPr>
          <w:i/>
        </w:rPr>
        <w:t>2016 IEEE Conference on Computer Vision and Pattern Recognition (CVPR)</w:t>
      </w:r>
      <w:r>
        <w:t xml:space="preserve"> 5525-5533 (2016). [48] Shuai Shao, Zijian Zhao, Boxun Li, Tete Xiao, Gang Yu, Xiangyu Zhang, Jian Sun. "CrowdHuman: A Benchmark for Detecting Human in a Crowd." arXiv:1805.00123 (2018). DOI 10.48550/arXiv.1805.00123 [49] P.V.A.B. de Venâncio, A.C. Lisboa, A.V. Barbosa. "An automatic fire detection system based on deep convolutional neural networks for low-power, resource-constrained devices." </w:t>
      </w:r>
      <w:r>
        <w:rPr>
          <w:i/>
        </w:rPr>
        <w:t>Neural Computing and Applications</w:t>
      </w:r>
      <w:r>
        <w:t xml:space="preserve"> 34(18):15349-15368 (2022). DOI 10.1007/s00521-022-07467-z [50] L. Cascone, M. Nappi, C. Pero, X. Wang. "A framework for bias-aware dataset evaluation in soft facial attribute recognition." </w:t>
      </w:r>
      <w:r>
        <w:rPr>
          <w:i/>
        </w:rPr>
        <w:t>Pattern Recognition</w:t>
      </w:r>
      <w:r>
        <w:t xml:space="preserve"> 172:112416 (2026). DOI 10.1016/j.patcog.2025.112416 [51] Y. Huang, Z. Zhang, Y. Huang, Q. Wu, H. Huang, Y. Zhong, L. Wang. "Customized meta-dataset for automatic classifier accuracy evaluation." </w:t>
      </w:r>
      <w:r>
        <w:rPr>
          <w:i/>
        </w:rPr>
        <w:t>Pattern Recognition</w:t>
      </w:r>
      <w:r>
        <w:t xml:space="preserve"> 146:110026 (2024). DOI 10.1016/j.patcog.2023.110026 [52] J. Sweeney. "Optimizer Memory Makes Shuffle Order a First-Order Source of Fine-Tuning Noise." arXiv:2606.29554 (2026). [53] E. Pintelas, I.E. Livieris. "GeNeX: Genetic Network eXperts framework for addressing Validation Overfitting." </w:t>
      </w:r>
      <w:r>
        <w:rPr>
          <w:i/>
        </w:rPr>
        <w:t>IEEE Transactions on Neural Networks and Learning Systems</w:t>
      </w:r>
      <w:r>
        <w:t xml:space="preserve"> (2026); arXiv:2603.11056. DOI 10.48550/arXiv.2603.11056 [54] Y. Tian, Q. Ye, D. Doermann. "YOLOv12: attention-centric real-time object detectors." arXiv:2502.12524 (2025). [55] N. Ajroldi, A. Orvieto, J. Geiping. "When, Where and Why to Average Weights?" arXiv:2502.06761 (2025).</w:t>
      </w:r>
    </w:p>
    <w:sectPr w:rsidR="00FC693F" w:rsidRPr="0006063C" w:rsidSect="00034616">
      <w:footerReference w:type="default" r:id="rId13"/>
      <w:pgSz w:w="11906" w:h="16838"/>
      <w:pgMar w:top="2438" w:right="2721" w:bottom="2438" w:left="27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