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the </w:t>
      </w:r>
      <w:r>
        <w:rPr>
          <w:b/>
        </w:rPr>
        <w:t>paired Δgap</w:t>
      </w:r>
      <w:r>
        <w:t xml:space="preserve"> (arms' </w:t>
      </w:r>
      <w:r>
        <w:rPr>
          <w:rFonts w:ascii="Consolas" w:hAnsi="Consolas"/>
          <w:sz w:val="19"/>
        </w:rPr>
        <w:t>val</w:t>
      </w:r>
      <w:r>
        <w:t>-vs-</w:t>
      </w:r>
      <w:r>
        <w:rPr>
          <w:rFonts w:ascii="Consolas" w:hAnsi="Consolas"/>
          <w:sz w:val="19"/>
        </w:rPr>
        <w:t>test</w:t>
      </w:r>
      <w:r>
        <w:t xml:space="preserve"> difference) changes sign by corpus, not the selection term — and </w:t>
      </w:r>
      <w:r>
        <w:rPr>
          <w:b/>
        </w:rPr>
        <w:t>only gaps above the ≈0.5 pp A/A floor count</w:t>
      </w:r>
      <w:r>
        <w:t xml:space="preserve"> (</w:t>
      </w:r>
      <w:r>
        <w:rPr>
          <w:b/>
        </w:rPr>
        <w:t>S23</w:t>
      </w:r>
      <w:r>
        <w:t xml:space="preserve">). The </w:t>
      </w:r>
      <w:r>
        <w:rPr>
          <w:b/>
        </w:rPr>
        <w:t>mean direction is metric-robust;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— not robust to endpoint noise (§S30).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prints </w:t>
      </w:r>
      <w:r>
        <w:rPr>
          <w:b/>
        </w:rPr>
        <w:t>12 of 19</w:t>
      </w:r>
      <w:r>
        <w:t xml:space="preserve"> — </w:t>
      </w:r>
      <w:r>
        <w:rPr>
          <w:b/>
        </w:rPr>
        <w:t>and its instrument reproduces only about a third of its own marks, a band of ±3–4 cells (S27)</w:t>
      </w:r>
      <w:r>
        <w:t xml:space="preserve">; re-verifying every row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 (§S12).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[5]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</w:t>
      </w:r>
      <w:r>
        <w:rPr>
          <w:b/>
        </w:rPr>
        <w:t>two where it overstates, one where it understates above the design’s own measured floor, and one *at* that floor (Supplementary S23)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§7.1; the escalation ledger is </w:t>
      </w:r>
      <w:r>
        <w:rPr>
          <w:b/>
        </w:rPr>
        <w:t>Table S38b</w:t>
      </w:r>
      <w:r>
        <w:t>, which records which cells moved to n = 10).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[6]; split naming and the choice of standard splits [7], [8]; experiment-</w:t>
      </w:r>
    </w:p>
    <w:p>
      <w:r>
        <w:t>reporting standards [9]; checkpoint-selection criteria [10];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§S45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[11],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[12]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the </w:t>
      </w:r>
      <w:r>
        <w:rPr>
          <w:b/>
        </w:rPr>
        <w:t xml:space="preserve">single citation convention is `reported = 10–11 of the 16–17 decidable rows` (≈ </w:t>
      </w:r>
      <w:r>
        <w:t>63–65 %</w:t>
      </w:r>
      <w:r>
        <w:rPr>
          <w:b/>
        </w:rPr>
        <w:t xml:space="preserve">), i.e. </w:t>
      </w:r>
      <w:r>
        <w:t>10–11 of 19 ≈ 53–58 %</w:t>
      </w:r>
      <w:r>
        <w:rPr>
          <w:b/>
        </w:rPr>
        <w:t xml:space="preserve"> of all nineteen</w:t>
      </w:r>
      <w:r>
        <w:t>, with the printed-layer numbers (12–14/19) and the upper bound (≤14/19) scoped to their own columns**;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G3’s epoch-budget series with early stopping disabled, all four budgets present (</w:t>
      </w:r>
      <w:r>
        <w:rPr>
          <w:b/>
        </w:rPr>
        <w:t>Supplementary S34b</w:t>
      </w:r>
      <w:r>
        <w:t>); its relationship to the primary reading is stated above.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[21], Mendeley face-mask [22], SFCHD [23]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[5]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[24]→YOLO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[25] (early stopping, data order) and [26]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[27]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[26].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[28];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[29]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</w:t>
      </w:r>
      <w:r>
        <w:rPr>
          <w:b/>
          <w:sz w:val="19"/>
        </w:rPr>
        <w:t>Resolution limit (pre-registered A/A control):</w:t>
      </w:r>
      <w:r>
        <w:rPr>
          <w:sz w:val="19"/>
        </w:rPr>
        <w:t xml:space="preserve"> two identically configured arms differing </w:t>
      </w:r>
      <w:r>
        <w:rPr>
          <w:i/>
          <w:sz w:val="19"/>
        </w:rPr>
        <w:t>only</w:t>
      </w:r>
      <w:r>
        <w:rPr>
          <w:sz w:val="19"/>
        </w:rPr>
        <w:t xml:space="preserve"> in training file order give a spurious </w:t>
      </w:r>
      <w:r>
        <w:rPr>
          <w:b/>
          <w:sz w:val="19"/>
        </w:rPr>
        <w:t>Δgap ≈ 0.5 pp</w:t>
      </w:r>
      <w:r>
        <w:rPr>
          <w:sz w:val="19"/>
        </w:rPr>
        <w:t xml:space="preserve"> (CI [+0.09, +0.84], </w:t>
      </w:r>
      <w:r>
        <w:rPr>
          <w:b/>
          <w:sz w:val="19"/>
        </w:rPr>
        <w:t>S23</w:t>
      </w:r>
      <w:r>
        <w:rPr>
          <w:sz w:val="19"/>
        </w:rPr>
        <w:t xml:space="preserve">), so equal split difficulty is an </w:t>
      </w:r>
      <w:r>
        <w:rPr>
          <w:b/>
          <w:sz w:val="19"/>
        </w:rPr>
        <w:t>assumption with a measured floor</w:t>
      </w:r>
      <w:r>
        <w:rPr>
          <w:sz w:val="19"/>
        </w:rPr>
        <w:t xml:space="preserve"> and </w:t>
      </w:r>
      <w:r>
        <w:rPr>
          <w:b/>
          <w:sz w:val="19"/>
        </w:rPr>
        <w:t>gaps that small are not read as identified effects</w:t>
      </w:r>
      <w:r>
        <w:rPr>
          <w:sz w:val="19"/>
        </w:rPr>
        <w:t xml:space="preserve">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  <w:r>
              <w:rPr>
                <w:sz w:val="18"/>
              </w:rPr>
              <w:t xml:space="preserve"> — </w:t>
            </w:r>
            <w:r>
              <w:rPr>
                <w:b/>
                <w:sz w:val="18"/>
              </w:rPr>
              <w:t>above the A/A floor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at the A/A floor</w:t>
            </w:r>
            <w:r>
              <w:rPr>
                <w:sz w:val="18"/>
              </w:rPr>
              <w:t xml:space="preserve"> (S23) — </w:t>
            </w:r>
            <w:r>
              <w:rPr>
                <w:b/>
                <w:sz w:val="18"/>
              </w:rPr>
              <w:t>not read as an identified effect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thirteen, and the floor is measured on one corpus pair — it is a reference point for that pair, not a universal threshold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 xml:space="preserve">. </w:t>
      </w:r>
      <w:r>
        <w:rPr>
          <w:b/>
        </w:rPr>
        <w:t>Against the +0.47 pp floor</w:t>
      </w:r>
      <w:r>
        <w:t xml:space="preserve"> (§S23): </w:t>
      </w:r>
      <w:r>
        <w:rPr>
          <w:rFonts w:ascii="Consolas" w:hAnsi="Consolas"/>
          <w:sz w:val="19"/>
        </w:rPr>
        <w:t>shwd2sf</w:t>
      </w:r>
      <w:r>
        <w:t xml:space="preserve"> </w:t>
      </w:r>
      <w:r>
        <w:rPr>
          <w:b/>
        </w:rPr>
        <w:t>+0.779</w:t>
      </w:r>
      <w:r>
        <w:t xml:space="preserve"> is above it, </w:t>
      </w:r>
      <w:r>
        <w:rPr>
          <w:rFonts w:ascii="Consolas" w:hAnsi="Consolas"/>
          <w:sz w:val="19"/>
        </w:rPr>
        <w:t>smoke2sf</w:t>
      </w:r>
      <w:r>
        <w:t xml:space="preserve"> </w:t>
      </w:r>
      <w:r>
        <w:rPr>
          <w:b/>
        </w:rPr>
        <w:t>+0.461</w:t>
      </w:r>
      <w:r>
        <w:t xml:space="preserve"> is on it, and the two overstating cells (</w:t>
      </w:r>
      <w:r>
        <w:rPr>
          <w:b/>
        </w:rPr>
        <w:t>−1.23</w:t>
      </w:r>
      <w:r>
        <w:t xml:space="preserve">, </w:t>
      </w:r>
      <w:r>
        <w:rPr>
          <w:b/>
        </w:rPr>
        <w:t>−3.32</w:t>
      </w:r>
      <w:r>
        <w:t xml:space="preserve">) are an order of magnitude beyond it. </w:t>
      </w:r>
      <w:r>
        <w:rPr>
          <w:b/>
        </w:rPr>
        <w:t>On the same rule the reading is one cell above the floor, one at it and two far below it</w:t>
      </w:r>
      <w:r>
        <w:t xml:space="preserve"> — so the direction claim rests on </w:t>
      </w:r>
      <w:r>
        <w:rPr>
          <w:b/>
        </w:rPr>
        <w:t>one</w:t>
      </w:r>
      <w:r>
        <w:t xml:space="preserve"> understating cell that clears the floor, not two. </w:t>
      </w:r>
      <w:r>
        <w:rPr>
          <w:b/>
        </w:rPr>
        <w:t>Scope of that floor:</w:t>
      </w:r>
      <w:r>
        <w:t xml:space="preserve"> §S23 measures the floor on the </w:t>
      </w:r>
      <w:r>
        <w:rPr>
          <w:b/>
        </w:rPr>
        <w:t>selection term</w:t>
      </w:r>
      <w:r>
        <w:t xml:space="preserve"> </w:t>
      </w:r>
      <w:r>
        <w:rPr>
          <w:rFonts w:ascii="Consolas" w:hAnsi="Consolas"/>
          <w:sz w:val="19"/>
        </w:rPr>
        <w:t>G = prem_val − prem_test</w:t>
      </w:r>
      <w:r>
        <w:t xml:space="preserve">; Table 2’s </w:t>
      </w:r>
      <w:r>
        <w:rPr>
          <w:rFonts w:ascii="Consolas" w:hAnsi="Consolas"/>
          <w:sz w:val="19"/>
        </w:rPr>
        <w:t>Δgap</w:t>
      </w:r>
      <w:r>
        <w:t xml:space="preserve"> adds the difficulty term, so applying the floor to </w:t>
      </w:r>
      <w:r>
        <w:rPr>
          <w:rFonts w:ascii="Consolas" w:hAnsi="Consolas"/>
          <w:sz w:val="19"/>
        </w:rPr>
        <w:t>Δgap</w:t>
      </w:r>
      <w:r>
        <w:t xml:space="preserve"> is a </w:t>
      </w:r>
      <w:r>
        <w:rPr>
          <w:b/>
        </w:rPr>
        <w:t>conservative analogy, not a strict null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(resolution limit: </w:t>
      </w:r>
      <w:r>
        <w:rPr>
          <w:b/>
        </w:rPr>
        <w:t>Supplementary S23</w:t>
      </w:r>
      <w:r>
        <w:t xml:space="preserve">; see </w:t>
      </w:r>
      <w:r>
        <w:rPr>
          <w:b/>
        </w:rPr>
        <w:t>Table 2</w:t>
      </w:r>
      <w:r>
        <w:t xml:space="preserve">’s caption.) </w:t>
      </w:r>
      <w:r>
        <w:rPr>
          <w:b/>
        </w:rPr>
        <w:t>The `p_vistod15` runs flagged for memory pressure were re-run clean and reproduce to ≤0.15 pp, changing no reading (Supplementary S41).</w:t>
      </w:r>
      <w:r>
        <w:t xml:space="preserve">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 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</w:t>
      </w:r>
      <w:r>
        <w:rPr>
          <w:b/>
        </w:rPr>
        <w:t>1 above the floor / 1 at it / 2 overstating</w:t>
      </w:r>
      <w:r>
        <w:t xml:space="preserve">, Supplementary S23)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[30],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[31]**: at pinned commits, Detectron2 (</w:t>
      </w:r>
      <w:r>
        <w:rPr>
          <w:rFonts w:ascii="Consolas" w:hAnsi="Consolas"/>
          <w:sz w:val="19"/>
        </w:rPr>
        <w:t>TEST.EVAL_PERIOD = 0</w:t>
      </w:r>
      <w:r>
        <w:t>) [32],</w:t>
      </w:r>
    </w:p>
    <w:p>
      <w:r>
        <w:t xml:space="preserve">MMDetection [33], DETR [34] and PaddleDetection [35]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[36], PASCAL VOC [24],</w:t>
      </w:r>
    </w:p>
    <w:p>
      <w:r>
        <w:t>Objects365 [37], Open Images v7 [38], DOTA v1.0 and v2.0 [21], VisDrone-DET [39], AI-TOD [40], UAVDT [41], xView [42],</w:t>
      </w:r>
    </w:p>
    <w:p>
      <w:r>
        <w:t>DIOR [43], NWPU VHR-10 [44], SHWD [5], SFCHD [23], MAFA [45], Mendeley face-mask [22], WIDER FACE [46], CrowdHuman [47]</w:t>
      </w:r>
    </w:p>
    <w:p>
      <w:r>
        <w:t>and D-Fire [48]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[49]</w:t>
      </w:r>
    </w:p>
    <w:p>
      <w:r>
        <w:t>and classifier-accuracy estimation [50]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With `test_gated` excluded</w:t>
      </w:r>
      <w:r>
        <w:rPr>
          <w:color w:val="444444"/>
          <w:sz w:val="20"/>
        </w:rPr>
        <w:t xml:space="preserve"> (the table’s rule): release-layer </w:t>
      </w:r>
      <w:r>
        <w:rPr>
          <w:b/>
          <w:color w:val="444444"/>
          <w:sz w:val="20"/>
        </w:rPr>
        <w:t>9/19 ≈ 47.4 %</w:t>
      </w:r>
      <w:r>
        <w:rPr>
          <w:color w:val="444444"/>
          <w:sz w:val="20"/>
        </w:rPr>
        <w:t xml:space="preserve"> vs </w:t>
      </w:r>
      <w:r>
        <w:rPr>
          <w:b/>
          <w:color w:val="444444"/>
          <w:sz w:val="20"/>
        </w:rPr>
        <w:t>14/19</w:t>
      </w:r>
      <w:r>
        <w:rPr>
          <w:color w:val="444444"/>
          <w:sz w:val="20"/>
        </w:rPr>
        <w:t xml:space="preserve"> with them in.</w:t>
      </w:r>
    </w:p>
    <w:p>
      <w:r>
        <w:rPr>
          <w:b/>
        </w:rPr>
        <w:t>Naming note.</w:t>
      </w:r>
      <w:r>
        <w:t xml:space="preserve"> The fourth unit is named </w:t>
      </w:r>
      <w:r>
        <w:rPr>
          <w:b/>
        </w:rPr>
        <w:t>`documented / locally scorable`</w:t>
      </w:r>
      <w:r>
        <w:t xml:space="preserve">: it reads the </w:t>
      </w:r>
      <w:r>
        <w:rPr>
          <w:b/>
        </w:rPr>
        <w:t>release documentation and each dataset’s own paper</w:t>
      </w:r>
      <w:r>
        <w:t xml:space="preserve">, not a sample of papers that report on the benchmark. The rename, and the reason a literature measurement is not claimed, are in </w:t>
      </w:r>
      <w:r>
        <w:rPr>
          <w:b/>
        </w:rPr>
        <w:t>§S39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pPr>
        <w:ind w:left="432"/>
      </w:pPr>
      <w:r>
        <w:rPr>
          <w:b/>
          <w:color w:val="444444"/>
          <w:sz w:val="20"/>
        </w:rPr>
        <w:t>Primary reading (panel).</w:t>
      </w:r>
      <w:r>
        <w:rPr>
          <w:color w:val="444444"/>
          <w:sz w:val="20"/>
        </w:rPr>
        <w:t xml:space="preserve"> The </w:t>
      </w:r>
      <w:r>
        <w:rPr>
          <w:b/>
          <w:color w:val="444444"/>
          <w:sz w:val="20"/>
        </w:rPr>
        <w:t>five-coder blind panel</w:t>
      </w:r>
      <w:r>
        <w:rPr>
          <w:color w:val="444444"/>
          <w:sz w:val="20"/>
        </w:rPr>
        <w:t xml:space="preserve"> leads: </w:t>
      </w:r>
      <w:r>
        <w:rPr>
          <w:b/>
          <w:color w:val="444444"/>
          <w:sz w:val="20"/>
        </w:rPr>
        <w:t>19 of 30 corrected cells (63.3 %)</w:t>
      </w:r>
      <w:r>
        <w:rPr>
          <w:color w:val="444444"/>
          <w:sz w:val="20"/>
        </w:rPr>
        <w:t xml:space="preserve">, eleven unanimously, </w:t>
      </w:r>
      <w:r>
        <w:rPr>
          <w:b/>
          <w:color w:val="444444"/>
          <w:sz w:val="20"/>
        </w:rPr>
        <w:t>κ 0.836</w:t>
      </w:r>
      <w:r>
        <w:rPr>
          <w:color w:val="444444"/>
          <w:sz w:val="20"/>
        </w:rPr>
        <w:t xml:space="preserve">. The </w:t>
      </w:r>
      <w:r>
        <w:rPr>
          <w:b/>
          <w:color w:val="444444"/>
          <w:sz w:val="20"/>
        </w:rPr>
        <w:t>single-rater count is the frozen instrument of record</w:t>
      </w:r>
      <w:r>
        <w:rPr>
          <w:color w:val="444444"/>
          <w:sz w:val="20"/>
        </w:rPr>
        <w:t>.</w:t>
      </w:r>
    </w:p>
    <w:p>
      <w:pPr>
        <w:ind w:left="432"/>
      </w:pPr>
      <w:r>
        <w:rPr>
          <w:b/>
          <w:color w:val="444444"/>
          <w:sz w:val="20"/>
        </w:rPr>
        <w:t>Frozen instrument.</w:t>
      </w:r>
      <w:r>
        <w:rPr>
          <w:color w:val="444444"/>
          <w:sz w:val="20"/>
        </w:rPr>
        <w:t xml:space="preserve"> These 19 rows were coded by </w:t>
      </w:r>
      <w:r>
        <w:rPr>
          <w:b/>
          <w:color w:val="444444"/>
          <w:sz w:val="20"/>
        </w:rPr>
        <w:t>one rater</w:t>
      </w:r>
      <w:r>
        <w:rPr>
          <w:color w:val="444444"/>
          <w:sz w:val="20"/>
        </w:rPr>
        <w:t xml:space="preserve"> — 28 literal judgements (</w:t>
      </w:r>
      <w:r>
        <w:rPr>
          <w:b/>
          <w:color w:val="444444"/>
          <w:sz w:val="20"/>
        </w:rPr>
        <w:t>§10</w:t>
      </w:r>
      <w:r>
        <w:rPr>
          <w:color w:val="444444"/>
          <w:sz w:val="20"/>
        </w:rPr>
        <w:t xml:space="preserve">, defect 5). The five blind coders </w:t>
      </w:r>
      <w:r>
        <w:rPr>
          <w:b/>
          <w:color w:val="444444"/>
          <w:sz w:val="20"/>
        </w:rPr>
        <w:t>independently reach 19 of 30 (63.3 %)</w:t>
      </w:r>
      <w:r>
        <w:rPr>
          <w:color w:val="444444"/>
          <w:sz w:val="20"/>
        </w:rPr>
        <w:t xml:space="preserve"> corrected cells, eleven unanimously, while </w:t>
      </w:r>
      <w:r>
        <w:rPr>
          <w:b/>
          <w:color w:val="444444"/>
          <w:sz w:val="20"/>
        </w:rPr>
        <w:t>26 of 76</w:t>
      </w:r>
      <w:r>
        <w:rPr>
          <w:color w:val="444444"/>
          <w:sz w:val="20"/>
        </w:rPr>
        <w:t xml:space="preserve"> cells stay </w:t>
      </w:r>
      <w:r>
        <w:rPr>
          <w:b/>
          <w:color w:val="444444"/>
          <w:sz w:val="20"/>
        </w:rPr>
        <w:t>undecidable</w:t>
      </w:r>
      <w:r>
        <w:rPr>
          <w:color w:val="444444"/>
          <w:sz w:val="20"/>
        </w:rPr>
        <w:t xml:space="preserve">; </w:t>
      </w:r>
      <w:r>
        <w:rPr>
          <w:b/>
          <w:color w:val="444444"/>
          <w:sz w:val="20"/>
        </w:rPr>
        <w:t>an independent blind panel reproduces only 31.4 % of the printed marks (42.2 % on the finer scale), so a 19-row count of 10–11 carries a band of roughly ±3–4 cells</w:t>
      </w:r>
      <w:r>
        <w:rPr>
          <w:color w:val="444444"/>
          <w:sz w:val="20"/>
        </w:rPr>
        <w:t xml:space="preserve"> — the </w:t>
      </w:r>
      <w:r>
        <w:rPr>
          <w:i/>
          <w:color w:val="444444"/>
          <w:sz w:val="20"/>
        </w:rPr>
        <w:t>direction</w:t>
      </w:r>
      <w:r>
        <w:rPr>
          <w:color w:val="444444"/>
          <w:sz w:val="20"/>
        </w:rPr>
        <w:t xml:space="preserve"> of the majority survives on the decidable rows (10–11 of 16–17), </w:t>
      </w:r>
      <w:r>
        <w:rPr>
          <w:b/>
          <w:color w:val="444444"/>
          <w:sz w:val="20"/>
        </w:rPr>
        <w:t>its size does not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S27</w:t>
      </w:r>
      <w:r>
        <w:rPr>
          <w:color w:val="444444"/>
          <w:sz w:val="20"/>
        </w:rPr>
        <w:t xml:space="preserve">); a </w:t>
      </w:r>
      <w:r>
        <w:rPr>
          <w:b/>
          <w:color w:val="444444"/>
          <w:sz w:val="20"/>
        </w:rPr>
        <w:t>non-blind, model-assisted</w:t>
      </w:r>
      <w:r>
        <w:rPr>
          <w:color w:val="444444"/>
          <w:sz w:val="20"/>
        </w:rPr>
        <w:t xml:space="preserve"> pass agrees at κ </w:t>
      </w:r>
      <w:r>
        <w:rPr>
          <w:b/>
          <w:color w:val="444444"/>
          <w:sz w:val="20"/>
        </w:rPr>
        <w:t>0.874</w:t>
      </w:r>
      <w:r>
        <w:rPr>
          <w:color w:val="444444"/>
          <w:sz w:val="20"/>
        </w:rPr>
        <w:t xml:space="preserve"> and </w:t>
      </w:r>
      <w:r>
        <w:rPr>
          <w:b/>
          <w:color w:val="444444"/>
          <w:sz w:val="20"/>
        </w:rPr>
        <w:t>moves two rows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</w:t>
      </w:r>
      <w:r>
        <w:rPr>
          <w:rFonts w:ascii="Consolas" w:hAnsi="Consolas"/>
          <w:color w:val="444444"/>
          <w:sz w:val="20"/>
        </w:rPr>
        <w:t>reported</w:t>
      </w:r>
      <w:r>
        <w:rPr>
          <w:color w:val="444444"/>
          <w:sz w:val="20"/>
        </w:rPr>
        <w:t xml:space="preserve"> means </w:t>
      </w:r>
      <w:r>
        <w:rPr>
          <w:b/>
          <w:color w:val="444444"/>
          <w:sz w:val="20"/>
        </w:rPr>
        <w:t>the number the literature prints</w:t>
      </w:r>
      <w:r>
        <w:rPr>
          <w:color w:val="444444"/>
          <w:sz w:val="20"/>
        </w:rPr>
        <w:t xml:space="preserve">: it is printed as a range, </w:t>
      </w:r>
      <w:r>
        <w:rPr>
          <w:b/>
          <w:color w:val="444444"/>
          <w:sz w:val="20"/>
        </w:rPr>
        <w:t>12–14 of the 19 ≈ 63–74 %</w:t>
      </w:r>
      <w:r>
        <w:rPr>
          <w:color w:val="444444"/>
          <w:sz w:val="20"/>
        </w:rPr>
        <w:t xml:space="preserve">, with the </w:t>
      </w:r>
      <w:r>
        <w:rPr>
          <w:b/>
          <w:color w:val="444444"/>
          <w:sz w:val="20"/>
        </w:rPr>
        <w:t>80 %</w:t>
      </w:r>
      <w:r>
        <w:rPr>
          <w:color w:val="444444"/>
          <w:sz w:val="20"/>
        </w:rPr>
        <w:t xml:space="preserve"> column the lower end over the </w:t>
      </w:r>
      <w:r>
        <w:rPr>
          <w:b/>
          <w:color w:val="444444"/>
          <w:sz w:val="20"/>
        </w:rPr>
        <w:t>12/15</w:t>
      </w:r>
      <w:r>
        <w:rPr>
          <w:color w:val="444444"/>
          <w:sz w:val="20"/>
        </w:rPr>
        <w:t xml:space="preserve"> decidable rows, and </w:t>
      </w:r>
      <w:r>
        <w:rPr>
          <w:rFonts w:ascii="Consolas" w:hAnsi="Consolas"/>
          <w:color w:val="444444"/>
          <w:sz w:val="20"/>
        </w:rPr>
        <w:t>n_a</w:t>
      </w:r>
      <w:r>
        <w:rPr>
          <w:color w:val="444444"/>
          <w:sz w:val="20"/>
        </w:rPr>
        <w:t xml:space="preserve"> rows counted in the </w:t>
      </w:r>
      <w:r>
        <w:rPr>
          <w:b/>
          <w:color w:val="444444"/>
          <w:sz w:val="20"/>
        </w:rPr>
        <w:t>19</w:t>
      </w:r>
      <w:r>
        <w:rPr>
          <w:color w:val="444444"/>
          <w:sz w:val="20"/>
        </w:rPr>
        <w:t xml:space="preserve"> but not the numerator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, 95 % CI </w:t>
      </w:r>
      <w:r>
        <w:rPr>
          <w:b/>
        </w:rPr>
        <w:t>[26.9 %, 123.5 %]</w:t>
      </w:r>
      <w:r>
        <w:t xml:space="preserve">) — </w:t>
      </w:r>
      <w:r>
        <w:rPr>
          <w:b/>
        </w:rPr>
        <w:t>a sign-only claim</w:t>
      </w:r>
      <w:r>
        <w:t xml:space="preserve">: the size is </w:t>
      </w:r>
      <w:r>
        <w:rPr>
          <w:b/>
        </w:rPr>
        <w:t>below the endpoint’s own noise</w:t>
      </w:r>
      <w:r>
        <w:t xml:space="preserve"> (image-level SE ≈ </w:t>
      </w:r>
      <w:r>
        <w:rPr>
          <w:b/>
        </w:rPr>
        <w:t>0.18 pp</w:t>
      </w:r>
      <w:r>
        <w:t xml:space="preserve">, </w:t>
      </w:r>
      <w:r>
        <w:rPr>
          <w:b/>
        </w:rPr>
        <w:t>S24</w:t>
      </w:r>
      <w:r>
        <w:t xml:space="preserve">), so the printed magnitudes are </w:t>
      </w:r>
      <w:r>
        <w:rPr>
          <w:b/>
        </w:rPr>
        <w:t>not interpreted as an effect size</w:t>
      </w:r>
      <w:r>
        <w:t xml:space="preserve">.: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(RetinaNet) keeps the </w:t>
      </w:r>
      <w:r>
        <w:rPr>
          <w:b/>
        </w:rPr>
        <w:t>direction</w:t>
      </w:r>
      <w:r>
        <w:t xml:space="preserve"> on the second corpus but </w:t>
      </w:r>
      <w:r>
        <w:rPr>
          <w:b/>
        </w:rPr>
        <w:t>not on VisDrone</w:t>
      </w:r>
      <w:r>
        <w:t xml:space="preserve"> (there the disjoint-split gain exceeds the selection gain, </w:t>
      </w:r>
      <w:r>
        <w:rPr>
          <w:b/>
        </w:rPr>
        <w:t>Table S34e</w:t>
      </w:r>
      <w:r>
        <w:t>)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pPr>
        <w:ind w:left="432"/>
      </w:pPr>
      <w:r>
        <w:rPr>
          <w:b/>
          <w:color w:val="444444"/>
          <w:sz w:val="20"/>
        </w:rPr>
        <w:t>Which quantity these p-values belong to.</w:t>
      </w:r>
      <w:r>
        <w:rPr>
          <w:color w:val="444444"/>
          <w:sz w:val="20"/>
        </w:rPr>
        <w:t xml:space="preserve"> The p-values quoted here are for </w:t>
      </w:r>
      <w:r>
        <w:rPr>
          <w:b/>
          <w:color w:val="444444"/>
          <w:sz w:val="20"/>
        </w:rPr>
        <w:t>Table 2’s Δgap</w:t>
      </w:r>
      <w:r>
        <w:rPr>
          <w:color w:val="444444"/>
          <w:sz w:val="20"/>
        </w:rPr>
        <w:t xml:space="preserve"> (the arm difference of the val-vs-test gaps). </w:t>
      </w:r>
      <w:r>
        <w:rPr>
          <w:b/>
          <w:color w:val="444444"/>
          <w:sz w:val="20"/>
        </w:rPr>
        <w:t>Table S42’s column is a different estimand</w:t>
      </w:r>
      <w:r>
        <w:rPr>
          <w:color w:val="444444"/>
          <w:sz w:val="20"/>
        </w:rPr>
        <w:t xml:space="preserve"> — </w:t>
      </w:r>
      <w:r>
        <w:rPr>
          <w:rFonts w:ascii="Consolas" w:hAnsi="Consolas"/>
          <w:color w:val="444444"/>
          <w:sz w:val="20"/>
        </w:rPr>
        <w:t>Δprem(seed) = prem(strategy) − prem(baseline)</w:t>
      </w:r>
      <w:r>
        <w:rPr>
          <w:color w:val="444444"/>
          <w:sz w:val="20"/>
        </w:rPr>
        <w:t xml:space="preserve"> — so its p-values are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expected to match these, and the S42 note says so. Both are printed with their n so a reader can check either.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([51]'s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[51]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premium’s realization rate — **the claim-level interval includes zero**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Scope of the rate (§S20).</w:t>
      </w:r>
      <w:r>
        <w:t xml:space="preserve"> The rate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these five arm-cells, under the companion's protocol</w:t>
      </w:r>
      <w:r>
        <w:t xml:space="preserve"> — the wording, the non-pooling of the two batches and the scale dependence (the difference form is reported but </w:t>
      </w:r>
      <w:r>
        <w:rPr>
          <w:b/>
        </w:rPr>
        <w:t>not</w:t>
      </w:r>
      <w:r>
        <w:t xml:space="preserve"> co-primary — a pp difference is not scale-free here) are stated in </w:t>
      </w:r>
      <w:r>
        <w:rPr>
          <w:b/>
        </w:rPr>
        <w:t>§S20</w:t>
      </w:r>
      <w:r>
        <w:t>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six rows are printed; the pooled rate uses the five arm-cells whose `test` side reached n ≥ 5</w:t>
      </w:r>
      <w:r>
        <w:rPr>
          <w:sz w:val="19"/>
        </w:rPr>
        <w:t xml:space="preserve"> —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contributes its baseline row only)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 xml:space="preserve">[−17. </w:t>
      </w:r>
      <w:r>
        <w:t>Both clusterings are printed</w:t>
      </w:r>
      <w:r>
        <w:rPr>
          <w:b/>
        </w:rPr>
        <w:t xml:space="preserve"> (</w:t>
      </w:r>
      <w:r>
        <w:t>S22</w:t>
      </w:r>
      <w:r>
        <w:rPr>
          <w:b/>
        </w:rPr>
        <w:t xml:space="preserve">): arm-cell </w:t>
      </w:r>
      <w:r>
        <w:t>[−10.6 %, +55.8 %]</w:t>
      </w:r>
      <w:r>
        <w:rPr>
          <w:b/>
        </w:rPr>
        <w:t xml:space="preserve">, target-corpus </w:t>
      </w:r>
      <w:r>
        <w:t>[−47.9 %, +34.2 %]</w:t>
      </w:r>
      <w:r>
        <w:rPr>
          <w:b/>
        </w:rPr>
        <w:t xml:space="preserve"> — </w:t>
      </w:r>
      <w:r>
        <w:t>both cover zero</w:t>
      </w:r>
      <w:r>
        <w:rPr>
          <w:b/>
        </w:rPr>
        <w:t>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[52]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[53]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 xml:space="preserve">. </w:t>
      </w:r>
      <w:r>
        <w:rPr>
          <w:b/>
        </w:rPr>
        <w:t xml:space="preserve">Read on run-to-run variation alone the interval clears the band’s upper edge (+76.9 %, barely); once the measured image-level endpoint noise is propagated (√2 × 0.18 pp per endpoint) the same interval is [+31.6 %, +225.0 %] and its lower bound falls *inside* the band — so the out-of-band reading is </w:t>
      </w:r>
      <w:r>
        <w:t>not robust to measurement noise</w:t>
      </w:r>
      <w:r>
        <w:rPr>
          <w:b/>
        </w:rPr>
        <w:t xml:space="preserve"> and we do not rest a claim on it (Supplementary S30).</w:t>
      </w:r>
      <w:r>
        <w:t xml:space="preserve"> </w:t>
      </w:r>
      <w:r>
        <w:rPr>
          <w:b/>
        </w:rPr>
        <w:t>What this arm changes is a bundle</w:t>
      </w:r>
      <w:r>
        <w:t xml:space="preserve">: against §8.6 it changes the </w:t>
      </w:r>
      <w:r>
        <w:rPr>
          <w:b/>
        </w:rPr>
        <w:t>corpus, the carve size and the budget at once</w:t>
      </w:r>
      <w:r>
        <w:t xml:space="preserve">, so </w:t>
      </w:r>
      <w:r>
        <w:rPr>
          <w:b/>
        </w:rPr>
        <w:t>+99.2 % is not attributable to budget alone</w:t>
      </w:r>
      <w:r>
        <w:t xml:space="preserve"> — and §8.9’s second full-budget corpus lands </w:t>
      </w:r>
      <w:r>
        <w:rPr>
          <w:b/>
        </w:rPr>
        <w:t>inside</w:t>
      </w:r>
      <w:r>
        <w:t xml:space="preserve"> the band (</w:t>
      </w:r>
      <w:r>
        <w:rPr>
          <w:b/>
        </w:rPr>
        <w:t>+1.44 %</w:t>
      </w:r>
      <w:r>
        <w:t xml:space="preserve">, CI covering zero), which is why we do </w:t>
      </w:r>
      <w:r>
        <w:rPr>
          <w:b/>
        </w:rPr>
        <w:t>not</w:t>
      </w:r>
      <w:r>
        <w:t xml:space="preserve"> read this as a budget effect.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[54]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and its realization are corpus properties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 arms × ten file orders, 100 epochs, </w:t>
      </w:r>
      <w:r>
        <w:rPr>
          <w:rFonts w:ascii="Consolas" w:hAnsi="Consolas"/>
          <w:sz w:val="19"/>
        </w:rPr>
        <w:t>test</w:t>
      </w:r>
      <w:r>
        <w:t xml:space="preserve"> side from a per-checkpoint sweep):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realization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base100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+26.219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+1.755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+7.2 %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lr005_100ep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+14.883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−1.165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−9.7 %</w:t>
            </w:r>
          </w:p>
        </w:tc>
      </w:tr>
    </w:tbl>
    <w:p/>
    <w:p>
      <w:r>
        <w:t xml:space="preserve">Pooled </w:t>
      </w:r>
      <w:r>
        <w:rPr>
          <w:b/>
        </w:rPr>
        <w:t>+1.44 %</w:t>
      </w:r>
      <w:r>
        <w:t xml:space="preserve">; run-level bootstrap 95 % CI </w:t>
      </w:r>
      <w:r>
        <w:rPr>
          <w:b/>
        </w:rPr>
        <w:t>[−7.2 %, +4.1 %]</w:t>
      </w:r>
      <w:r>
        <w:t xml:space="preserve"> — </w:t>
      </w:r>
      <w:r>
        <w:rPr>
          <w:b/>
        </w:rPr>
        <w:t>zero inside</w:t>
      </w:r>
      <w:r>
        <w:t xml:space="preserve">; </w:t>
      </w:r>
      <w:r>
        <w:rPr>
          <w:rFonts w:ascii="Consolas" w:hAnsi="Consolas"/>
          <w:sz w:val="19"/>
        </w:rPr>
        <w:t>prem_test &gt; 0</w:t>
      </w:r>
      <w:r>
        <w:t xml:space="preserve"> in </w:t>
      </w:r>
      <w:r>
        <w:rPr>
          <w:b/>
        </w:rPr>
        <w:t>12 of 20</w:t>
      </w:r>
      <w:r>
        <w:t xml:space="preserve"> runs. </w:t>
      </w:r>
      <w:r>
        <w:rPr>
          <w:b/>
        </w:rPr>
        <w:t>Against §8.8</w:t>
      </w:r>
      <w:r>
        <w:t xml:space="preserve"> (full-budget VisDrone: premium +0.27 pp, realization </w:t>
      </w:r>
      <w:r>
        <w:rPr>
          <w:b/>
        </w:rPr>
        <w:t>99 %</w:t>
      </w:r>
      <w:r>
        <w:t xml:space="preserve">), the premium here is two orders of magnitude larger and </w:t>
      </w:r>
      <w:r>
        <w:rPr>
          <w:b/>
        </w:rPr>
        <w:t>only a minority survives</w:t>
      </w:r>
      <w:r>
        <w:t xml:space="preserve"> — and the arms separate on the </w:t>
      </w:r>
      <w:r>
        <w:rPr>
          <w:i/>
        </w:rPr>
        <w:t>realization</w:t>
      </w:r>
      <w:r>
        <w:t xml:space="preserve"> (+7.2 % vs −9.7 %) rather than on the premium alone. </w:t>
      </w:r>
      <w:r>
        <w:rPr>
          <w:b/>
        </w:rPr>
        <w:t>Per-run detail: Supplementary S17.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number.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Handled by rebuilding the numbers from the per-run artifacts</w:t>
            </w:r>
            <w:r>
              <w:rPr>
                <w:sz w:val="18"/>
              </w:rPr>
              <w:t>; the ledger's role is now documentary only, and every headline number in the pack traces to a released file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 xml:space="preserve">; verbatim detail in </w:t>
            </w:r>
            <w:r>
              <w:rPr>
                <w:b/>
                <w:sz w:val="18"/>
              </w:rPr>
              <w:t>§S14.6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Recomputed</w:t>
            </w:r>
            <w:r>
              <w:rPr>
                <w:sz w:val="18"/>
              </w:rPr>
              <w:t>; it now reproduces M3’s printed value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Stated in §7.3</w:t>
            </w:r>
            <w:r>
              <w:rPr>
                <w:sz w:val="18"/>
              </w:rPr>
              <w:t>, with its consequence for the conflicting-endpoint cells.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archive.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Repaired</w:t>
            </w:r>
            <w:r>
              <w:rPr>
                <w:sz w:val="18"/>
              </w:rPr>
              <w:t>: the pod is gone from the released paths, and the analyses run from the archive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One script recomputes the σ decomposition</w:t>
            </w:r>
            <w:r>
              <w:rPr>
                <w:sz w:val="18"/>
              </w:rPr>
              <w:t xml:space="preserve"> from the archived per-run values, each asserted against the printed number, for the runs it can read.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</w:t>
            </w:r>
            <w:r>
              <w:rPr>
                <w:sz w:val="18"/>
              </w:rPr>
              <w:t>; the script and its inputs are released, and what it cannot reconstruct is named in §S14.5.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Partially repaired</w:t>
            </w:r>
            <w:r>
              <w:rPr>
                <w:sz w:val="18"/>
              </w:rPr>
              <w:t>; the manifest ships and the carve directories are named (§S6).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Each adjudicated</w:t>
            </w:r>
            <w:r>
              <w:rPr>
                <w:sz w:val="18"/>
              </w:rPr>
              <w:t>: 3 misreadings, 4 real defects, 1 convention risk, 1 classification (§S12).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Corrected in place, with the retraction recorded</w:t>
            </w:r>
            <w:r>
              <w:rPr>
                <w:sz w:val="18"/>
              </w:rPr>
              <w:t xml:space="preserve"> (§8.7).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Disclosed, not retracted</w:t>
            </w:r>
            <w:r>
              <w:rPr>
                <w:sz w:val="18"/>
              </w:rPr>
              <w:t>; the affected cells were re-run clean (six pairs twice each, 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clean2 − clean1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= 0.000</w:t>
            </w:r>
            <w:r>
              <w:rPr>
                <w:rFonts w:ascii="Consolas" w:hAnsi="Consolas"/>
                <w:sz w:val="18"/>
              </w:rPr>
              <w:t xml:space="preserve"> throughout) and the four affected </w:t>
            </w:r>
            <w:r>
              <w:rPr>
                <w:sz w:val="18"/>
              </w:rPr>
              <w:t xml:space="preserve">p_vistod15` runs reproduce to ≤ 0.15 pp — </w:t>
            </w:r>
            <w:r>
              <w:rPr>
                <w:b/>
                <w:sz w:val="18"/>
              </w:rPr>
              <w:t>Supplementary S41</w:t>
            </w:r>
            <w:r>
              <w:rPr>
                <w:sz w:val="18"/>
              </w:rPr>
              <w:t>; the bound this buys is stated there, verbatim with this row.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</w:t>
      </w:r>
      <w:r>
        <w:rPr>
          <w:b/>
        </w:rPr>
        <w:t>at full budget the answer is corpus-specific</w:t>
      </w:r>
      <w:r>
        <w:t xml:space="preserve">: </w:t>
      </w:r>
      <w:r>
        <w:rPr>
          <w:b/>
        </w:rPr>
        <w:t>+99.2 % on VisDrone (§8.8)</w:t>
      </w:r>
      <w:r>
        <w:t xml:space="preserve"> vs </w:t>
      </w:r>
      <w:r>
        <w:rPr>
          <w:b/>
        </w:rPr>
        <w:t>+1.44 %, interval covering zero, on the second full-budget corpus (§8.9)</w:t>
      </w:r>
      <w:r>
        <w:t xml:space="preserve"> — the cost is </w:t>
      </w:r>
      <w:r>
        <w:rPr>
          <w:b/>
        </w:rPr>
        <w:t>not monotone in scarcity</w:t>
      </w:r>
      <w:r>
        <w:t xml:space="preserve">, and the recommendation is </w:t>
      </w:r>
      <w:r>
        <w:rPr>
          <w:b/>
        </w:rPr>
        <w:t>scoped to where it was measured</w:t>
      </w:r>
      <w:r>
        <w:t xml:space="preserve"> — the practice is **most</w:t>
      </w:r>
    </w:p>
    <w:p>
      <w:r>
        <w:t>damaging exactly where data is scarcest</w:t>
      </w:r>
      <w:r>
        <w:rPr>
          <w:b/>
        </w:rPr>
        <w:t xml:space="preserve">. ③④ </w:t>
      </w:r>
      <w:r>
        <w:t>Test conventions and counting units</w:t>
      </w:r>
      <w:r>
        <w:rPr>
          <w:b/>
        </w:rPr>
        <w:t xml:space="preserve"> (the two concrete asks): stated in </w:t>
      </w:r>
      <w:r>
        <w:t>Supplementary S29**.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3; </w:t>
      </w:r>
      <w:r>
        <w:rPr>
          <w:b/>
        </w:rPr>
        <w:t>the `n_a` applicability rule itself is stated in Supplementary S12</w:t>
      </w:r>
      <w:r>
        <w:t xml:space="preserve">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>at full training budget on the same corpus the pooled rate rises to +99.2 % (</w:t>
      </w:r>
      <w:r>
        <w:t>two run-level bootstraps of the same 20 runs differ, so both are printed with their seeds</w:t>
      </w:r>
      <w:r>
        <w:rPr>
          <w:b/>
        </w:rPr>
        <w:t xml:space="preserve">: </w:t>
      </w:r>
      <w:r>
        <w:t>seed 20261011</w:t>
      </w:r>
      <w:r>
        <w:rPr>
          <w:b/>
        </w:rPr>
        <w:t xml:space="preserve"> (§S13/Table S47) gives </w:t>
      </w:r>
      <w:r>
        <w:t>[+80.4 %, +122.0 %]</w:t>
      </w:r>
      <w:r>
        <w:rPr>
          <w:b/>
        </w:rPr>
        <w:t xml:space="preserve">; </w:t>
      </w:r>
      <w:r>
        <w:t>seed 20261013</w:t>
      </w:r>
      <w:r>
        <w:rPr>
          <w:b/>
        </w:rPr>
        <w:t xml:space="preserve"> (§S30) gives </w:t>
      </w:r>
      <w:r>
        <w:t>[+76.9 %, +135.5 %]</w:t>
      </w:r>
      <w:r>
        <w:rPr>
          <w:b/>
        </w:rPr>
        <w:t xml:space="preserve">. Propagating the endpoint noise (√2 × 0.18 pp) puts the lower bound </w:t>
      </w:r>
      <w:r>
        <w:t>inside</w:t>
      </w:r>
      <w:r>
        <w:rPr>
          <w:b/>
        </w:rPr>
        <w:t xml:space="preserve"> the band either way — the out-of-band reading is </w:t>
      </w:r>
      <w:r>
        <w:t>not robust</w:t>
      </w:r>
      <w:r>
        <w:rPr>
          <w:b/>
        </w:rPr>
        <w:t xml:space="preserve">. </w:t>
      </w:r>
      <w:r>
        <w:t>The “2.9 pp” margin is the 20261013 bootstrap’s</w:t>
      </w:r>
      <w:r>
        <w:rPr>
          <w:b/>
        </w:rPr>
        <w:t>; on 20261011 it is 6.4 pp.)</w:t>
      </w:r>
      <w:r>
        <w:t xml:space="preserve"> The registered second-corpus reproduction (§8.9) lands </w:t>
      </w:r>
      <w:r>
        <w:rPr>
          <w:i/>
        </w:rPr>
        <w:t>inside</w:t>
      </w:r>
      <w:r>
        <w:t xml:space="preserve"> that band (+1.44 %, interval covering zero), so the out-of-band result is </w:t>
      </w:r>
      <w:r>
        <w:rPr>
          <w:b/>
        </w:rPr>
        <w:t>not</w:t>
      </w:r>
      <w:r>
        <w:t xml:space="preserve"> reproduced and we do </w:t>
      </w:r>
      <w:r>
        <w:rPr>
          <w:b/>
        </w:rPr>
        <w:t>not</w:t>
      </w:r>
      <w:r>
        <w:t xml:space="preserve"> read the loss as a small-sample artefact. Intervals quoted here are run-level and are not compared with the cell-level ones (§8.9, Table S47).</w:t>
      </w:r>
      <w:r>
        <w:rPr>
          <w:b/>
        </w:rPr>
        <w:t xml:space="preserve"> Two things do </w:t>
      </w:r>
      <w:r>
        <w:t>not</w:t>
      </w:r>
      <w:r>
        <w:rPr>
          <w:b/>
        </w:rPr>
        <w:t xml:space="preserve"> hold: the σ√(2 ln E) scaling was tested and </w:t>
      </w:r>
      <w:r>
        <w:t>withdrawn</w:t>
      </w:r>
      <w:r>
        <w:rPr>
          <w:b/>
        </w:rPr>
        <w:t xml:space="preserve">, and no power analysis was registered, so the nine `n = 3` cells stay descriptive. What we ask of a detection paper is narrow: </w:t>
      </w:r>
      <w:r>
        <w:t>name the counting unit, freeze in writing which checkpoint is reported, and state the interval at the claim's level.**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corpora are open</w:t>
      </w:r>
      <w:r>
        <w:t xml:space="preserve">; the pack lacks their </w:t>
      </w:r>
      <w:r>
        <w:rPr>
          <w:b/>
        </w:rPr>
        <w:t>images</w:t>
      </w:r>
      <w:r>
        <w:t xml:space="preserve">, so retraining is not recomputable (§10 defect 6). §5.5’s </w:t>
      </w:r>
      <w:r>
        <w:rPr>
          <w:b/>
        </w:rPr>
        <w:t>third-party logs are not redistributed</w:t>
      </w:r>
      <w:r>
        <w:t xml:space="preserve"> (hashes and pointers only), as </w:t>
      </w:r>
      <w:r>
        <w:rPr>
          <w:b/>
        </w:rPr>
        <w:t>5 of their 6 sources state no licence</w:t>
      </w:r>
      <w:r>
        <w:t xml:space="preserve">. Released per-run artifacts and scripts: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script. </w:t>
      </w:r>
      <w:r>
        <w:rPr>
          <w:b/>
        </w:rPr>
        <w:t>Three are not, and they are named</w:t>
      </w:r>
      <w:r>
        <w:t xml:space="preserve">: the carve directories (images not in the pack), the conflicting-endpoint archives (§7.3), and the </w:t>
      </w:r>
      <w:r>
        <w:rPr>
          <w:rFonts w:ascii="Consolas" w:hAnsi="Consolas"/>
          <w:sz w:val="19"/>
        </w:rPr>
        <w:t>aitod20</w:t>
      </w:r>
      <w:r>
        <w:t xml:space="preserve"> completion to n = 10. </w:t>
      </w:r>
      <w:r>
        <w:rPr>
          <w:b/>
        </w:rPr>
        <w:t>This revision adds ten files and five scripts</w:t>
      </w:r>
      <w:r>
        <w:t xml:space="preserve"> to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 (§S25).</w:t>
      </w:r>
      <w:r>
        <w:t xml:space="preserve"> The n = 10 floor is exactly 2/2¹⁰.</w:t>
      </w:r>
    </w:p>
    <w:p>
      <w:r>
        <w:t xml:space="preserve">- </w:t>
      </w:r>
      <w:r>
        <w:rPr>
          <w:b/>
        </w:rPr>
        <w:t>CRediT.</w:t>
      </w:r>
      <w:r>
        <w:t xml:space="preserve"> All CRediT roles: </w:t>
      </w:r>
      <w:r>
        <w:rPr>
          <w:b/>
        </w:rPr>
        <w:t>the authors</w:t>
      </w:r>
      <w:r>
        <w:t>; the named statement goes in the submission system.</w:t>
      </w:r>
    </w:p>
    <w:p>
      <w:r>
        <w:t xml:space="preserve">- </w:t>
      </w:r>
      <w:r>
        <w:rPr>
          <w:b/>
        </w:rPr>
        <w:t>Generative AI.</w:t>
      </w:r>
      <w:r>
        <w:t xml:space="preserve"> Five language models served as </w:t>
      </w:r>
      <w:r>
        <w:rPr>
          <w:b/>
        </w:rPr>
        <w:t>blinded panel annotators</w:t>
      </w:r>
      <w:r>
        <w:t xml:space="preserve"> (§5.5) and for the multi-model cross-check; their returns are </w:t>
      </w:r>
      <w:r>
        <w:rPr>
          <w:b/>
        </w:rPr>
        <w:t>data</w:t>
      </w:r>
      <w:r>
        <w:t xml:space="preserve">, with prompts and matrices released. </w:t>
      </w:r>
      <w:r>
        <w:rPr>
          <w:b/>
        </w:rPr>
        <w:t>No manuscript text was AI-generated.</w:t>
      </w:r>
    </w:p>
    <w:p>
      <w:r>
        <w:t xml:space="preserve">- </w:t>
      </w:r>
      <w:r>
        <w:rPr>
          <w:b/>
        </w:rPr>
        <w:t>Reproducibility.</w:t>
      </w:r>
      <w:r>
        <w:t xml:space="preserve"> Every reported number points to a local artifact (paths are relative to the released </w:t>
      </w:r>
      <w:r>
        <w:rPr>
          <w:rFonts w:ascii="Consolas" w:hAnsi="Consolas"/>
          <w:sz w:val="19"/>
        </w:rPr>
        <w:t>02_release_data/</w:t>
      </w:r>
      <w:r>
        <w:t xml:space="preserve">); </w:t>
      </w:r>
      <w:r>
        <w:rPr>
          <w:b/>
        </w:rPr>
        <w:t>289 audit anchors</w:t>
      </w:r>
      <w:r>
        <w:t xml:space="preserve"> guard the claims, and the audit plus six checkers ship with the archive: </w:t>
      </w:r>
      <w:r>
        <w:rPr>
          <w:b/>
        </w:rPr>
        <w:t>one runs unaided for a holder of the archive, four are author-side gates, and one is partly runnable</w:t>
      </w:r>
      <w:r>
        <w:t xml:space="preserve"> (270 of 289 anchors checkable from the released copy alone).</w:t>
      </w:r>
    </w:p>
    <w:p>
      <w:pPr>
        <w:pStyle w:val="Heading1"/>
      </w:pPr>
      <w:r>
        <w:t>References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[6]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 xml:space="preserve">[7]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[8]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[9]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>[10] A. Apicella, F. Isgrò, A. Pollastro, R. Prevete. "Don't stop me now: How Validation Criteria Affect Checkpoint Selection and Early Stopping." arXiv:2602.22107v2 (2026).</w:t>
      </w:r>
    </w:p>
    <w:p>
      <w:r>
        <w:t xml:space="preserve">[11]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 xml:space="preserve">[12]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 xml:space="preserve">[23]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 (SFCHD / SFCHD-SCALE)</w:t>
      </w:r>
    </w:p>
    <w:p>
      <w:r>
        <w:t xml:space="preserve">[24]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[25] J. Dodge, G. Ilharco, R. Schwartz, A. Farhadi, H. Hajishirzi, N. Smith. "Fine-Tuning Pretrained Language Models: Weight Initializations, Data Orders, and Early Stopping." arXiv:2002.06305 (2020)</w:t>
      </w:r>
    </w:p>
    <w:p>
      <w:r>
        <w:t>[26] X. Bouthillier, P. Delaunay, M. Bronzi, A. Trofimov, B. Nichyporuk, J. Szeto, N. Sepah, E. Raff, et al. "Accounting for Variance in Machine Learning Benchmarks." arXiv:2103.03098 (2021)</w:t>
      </w:r>
    </w:p>
    <w:p>
      <w:r>
        <w:t xml:space="preserve">[27]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[28]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[29]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[30]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[31]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[34]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[35]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[36] Tsung-Yi Lin, Michael Maire, Serge Belongie, Lubomir Bourdev, Ross Girshick, James Hays, Pietro Perona, Deva Ramanan, C. Lawrence Zitnick, Piotr Dollár. "Microsoft COCO: Common Objects in Context." arXiv:1405.0312 (2014)</w:t>
      </w:r>
    </w:p>
    <w:p>
      <w:r>
        <w:t xml:space="preserve">[37]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[38]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[39]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[40]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[41]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[42] Darius Lam, Richard Kuzma, Kevin McGee, Samuel Dooley, Michael Laielli, Matthew Klaric, Yaroslav Bulatov, Brendan McCord. "xView: Objects in Context in Overhead Imagery." arXiv:1802.07856 (2018)</w:t>
      </w:r>
    </w:p>
    <w:p>
      <w:r>
        <w:t>[43] Ke Li, Gang Wan, Gong Cheng, Liqiu Meng, Junwei Han. "Object Detection in Optical Remote Sensing Images: A Survey and A New Benchmark." arXiv:1909.00133 (2019) (DIOR benchmark)</w:t>
      </w:r>
    </w:p>
    <w:p>
      <w:r>
        <w:t xml:space="preserve">[44]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[45]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[46]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[47] Shuai Shao, Zijian Zhao, Boxun Li, Tete Xiao, Gang Yu, Xiangyu Zhang, Jian Sun. "CrowdHuman: A Benchmark for Detecting Human in a Crowd." arXiv:1805.00123 (2018)</w:t>
      </w:r>
    </w:p>
    <w:p>
      <w:r>
        <w:t xml:space="preserve">[48]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[49]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[50]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[51] J. Sweeney. "Optimizer Memory Makes Shuffle Order a First-Order Source of Fine-Tuning Noise." arXiv:2606.29554 (2026).</w:t>
      </w:r>
    </w:p>
    <w:p>
      <w:r>
        <w:t xml:space="preserve">[52]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</w:t>
      </w:r>
    </w:p>
    <w:p>
      <w:r>
        <w:t>[53] Y. Tian, Q. Ye, D. Doermann. "YOLOv12: attention-centric real-time object detectors." arXiv:2502.12524 (2025).</w:t>
      </w:r>
    </w:p>
    <w:p>
      <w:r>
        <w:t>[54] H. Suo, H. Wang, Y. Li. "Checkpoint Selection and Evaluation in EEG Emotion Recognition." arXiv:2607.27655 (2026).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