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S3 · Per-row evidence from the cross-framework configuration audit (5 frameworks / 25 official files)</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25 official files)</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6ddff4824372896469a7fae2dc3206c7aa4bbaee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gave 19.6 % / 32.4 % / 34.5 %, and the ~15 pp spread came from that n = 1 cell</w:t>
        <w:br/>
        <w:t xml:space="preserve">    — it carried 20 % of the arm-cell weight while contributing a single run to the run-level mean.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this version unifies the total's prem_val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 the previous version's +0.896 used</w:t>
        <w:br/>
        <w:t xml:space="preserve">    best.pt − last.pt, which gives +0.905 on the same 41 runs (a 0.03 pp difference).</w:t>
        <w:br/>
        <w:t xml:space="preserve">  The previous version's </w:t>
      </w:r>
      <w:r>
        <w:rPr>
          <w:rFonts w:ascii="Consolas" w:hAnsi="Consolas"/>
          <w:b/>
        </w:rPr>
        <w:t>arm-cell-equal</w:t>
      </w:r>
      <w:r>
        <w:rPr>
          <w:rFonts w:ascii="Consolas" w:hAnsi="Consolas"/>
        </w:rPr>
        <w:t xml:space="preserve"> totals (prem_val +0.883, prem_test +0.172, also over the 41 runs) are superseded by the 23.3 % above:</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18/20</w:t>
      </w:r>
      <w:r>
        <w:rPr>
          <w:rFonts w:ascii="Consolas" w:hAnsi="Consolas"/>
        </w:rPr>
        <w:t xml:space="preserve"> are positive.</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(anyone can recompute independently)</w:t>
      </w:r>
    </w:p>
    <w:p>
      <w:r>
        <w:rPr>
          <w:rFonts w:ascii="Consolas" w:hAnsi="Consolas"/>
        </w:rP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Both conventions become significant only at n ≥ 6</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2</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tc>
        <w:tc>
          <w:tcPr>
            <w:tcW w:type="dxa" w:w="2160"/>
          </w:tcP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pStyle w:val="Heading2"/>
      </w:pPr>
      <w:r>
        <w:t>Table S1 — moved from *2.1 The closest work, and where this paper sits*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pStyle w:val="Heading2"/>
      </w:pPr>
      <w:r>
        <w:t>Table S2 — moved from *3. Units: the methodological premise*</w:t>
      </w:r>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pStyle w:val="Heading2"/>
      </w:pPr>
      <w:r>
        <w:t>Table S3 — moved from *5. Finding 2: the selection premium — magnitude, direction, and mechanism*</w:t>
      </w:r>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pStyle w:val="Heading2"/>
      </w:pPr>
      <w:r>
        <w:t>Table S4 — moved from *5.1 Direction: reported in two tiers, and the second tier's sign varies by corpus*</w:t>
      </w:r>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pStyle w:val="Heading2"/>
      </w:pPr>
      <w:r>
        <w:t>Table S5 — moved from *5.1 Direction: reported in two tiers, and the second tier's sign varies by corpus*</w:t>
      </w:r>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pStyle w:val="Heading2"/>
      </w:pPr>
      <w:r>
        <w:t>Table S6 — moved from *5.1 Direction: reported in two tiers, and the second tier's sign varies by corpus*</w:t>
      </w:r>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pStyle w:val="Heading2"/>
      </w:pPr>
      <w:r>
        <w:t>Table S7 — moved from *5.5 The same component in third-party public logs*</w:t>
      </w:r>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18/20</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pStyle w:val="Heading2"/>
      </w:pPr>
      <w:r>
        <w:t>Table S8 — moved from *5.6 Why Δgap's sign varies by corpus: three of five candidate mechanisms are refuted by the data*</w:t>
      </w:r>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pStyle w:val="Heading2"/>
      </w:pPr>
      <w:r>
        <w:t>Table S9 — moved from *5.6 Why Δgap's sign varies by corpus: three of five candidate mechanisms are refuted by the data*</w:t>
      </w:r>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pStyle w:val="Heading2"/>
      </w:pPr>
      <w:r>
        <w:t>Table S10 — moved from *5.6 Why Δgap's sign varies by corpus: three of five candidate mechanisms are refuted by the data*</w:t>
      </w:r>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Δgap</w:t>
            </w:r>
          </w:p>
        </w:tc>
        <w:tc>
          <w:tcPr>
            <w:tcW w:type="dxa" w:w="1440"/>
          </w:tcPr>
          <w:p>
            <w:r>
              <w:rPr>
                <w:b/>
                <w:sz w:val="18"/>
              </w:rPr>
              <w:t>final-epoch val diff</w:t>
            </w:r>
          </w:p>
        </w:tc>
        <w:tc>
          <w:tcPr>
            <w:tcW w:type="dxa" w:w="1440"/>
          </w:tcPr>
          <w:p>
            <w:r>
              <w:rPr>
                <w:b/>
                <w:sz w:val="18"/>
              </w:rPr>
              <w:t>Δprem</w:t>
            </w:r>
          </w:p>
        </w:tc>
        <w:tc>
          <w:tcPr>
            <w:tcW w:type="dxa" w:w="1440"/>
          </w:tcPr>
          <w:p>
            <w:r>
              <w:rPr>
                <w:b/>
                <w:sz w:val="18"/>
              </w:rPr>
              <w:t>−test diff</w:t>
            </w:r>
          </w:p>
        </w:tc>
        <w:tc>
          <w:tcPr>
            <w:tcW w:type="dxa" w:w="1440"/>
          </w:tcPr>
          <w:p>
            <w:r>
              <w:rPr>
                <w:b/>
                <w:sz w:val="18"/>
              </w:rPr>
              <w:t>Dominant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b/>
                <w:sz w:val="18"/>
              </w:rPr>
              <w:t>mask20</w:t>
            </w:r>
          </w:p>
        </w:tc>
        <w:tc>
          <w:tcPr>
            <w:tcW w:type="dxa" w:w="1440"/>
          </w:tcPr>
          <w:p>
            <w:r>
              <w:rPr>
                <w:b/>
                <w:sz w:val="18"/>
              </w:rPr>
              <w:t>+1.75</w:t>
            </w:r>
          </w:p>
        </w:tc>
        <w:tc>
          <w:tcPr>
            <w:tcW w:type="dxa" w:w="1440"/>
          </w:tcPr>
          <w:p>
            <w:r>
              <w:rPr>
                <w:b/>
                <w:sz w:val="18"/>
              </w:rPr>
              <w:t>+15.78</w:t>
            </w:r>
          </w:p>
        </w:tc>
        <w:tc>
          <w:tcPr>
            <w:tcW w:type="dxa" w:w="1440"/>
          </w:tcPr>
          <w:p>
            <w:r>
              <w:rPr>
                <w:b/>
                <w:sz w:val="18"/>
              </w:rPr>
              <w:t>−13.10</w:t>
            </w:r>
          </w:p>
        </w:tc>
        <w:tc>
          <w:tcPr>
            <w:tcW w:type="dxa" w:w="1440"/>
          </w:tcPr>
          <w:p>
            <w:r>
              <w:rPr>
                <w:sz w:val="18"/>
              </w:rPr>
              <w:t>−0.93</w:t>
            </w:r>
          </w:p>
        </w:tc>
        <w:tc>
          <w:tcPr>
            <w:tcW w:type="dxa" w:w="1440"/>
          </w:tcPr>
          <w:p>
            <w:r>
              <w:rPr>
                <w:sz w:val="18"/>
              </w:rPr>
              <w:t xml:space="preserve">the two large components </w:t>
            </w:r>
            <w:r>
              <w:rPr>
                <w:b/>
                <w:sz w:val="18"/>
              </w:rPr>
              <w:t>nearly cancel</w:t>
            </w:r>
          </w:p>
        </w:tc>
      </w:tr>
      <w:tr>
        <w:tc>
          <w:tcPr>
            <w:tcW w:type="dxa" w:w="1440"/>
          </w:tcPr>
          <w:p>
            <w:r>
              <w:rPr>
                <w:sz w:val="18"/>
              </w:rPr>
              <w:t>fire</w:t>
            </w:r>
          </w:p>
        </w:tc>
        <w:tc>
          <w:tcPr>
            <w:tcW w:type="dxa" w:w="1440"/>
          </w:tcPr>
          <w:p>
            <w:r>
              <w:rPr>
                <w:b/>
                <w:sz w:val="18"/>
              </w:rPr>
              <w:t>+13.66</w:t>
            </w:r>
          </w:p>
        </w:tc>
        <w:tc>
          <w:tcPr>
            <w:tcW w:type="dxa" w:w="1440"/>
          </w:tcPr>
          <w:p>
            <w:r>
              <w:rPr>
                <w:sz w:val="18"/>
              </w:rPr>
              <w:t>+15.96</w:t>
            </w:r>
          </w:p>
        </w:tc>
        <w:tc>
          <w:tcPr>
            <w:tcW w:type="dxa" w:w="1440"/>
          </w:tcPr>
          <w:p>
            <w:r>
              <w:rPr>
                <w:sz w:val="18"/>
              </w:rPr>
              <w:t>+2.08</w:t>
            </w:r>
          </w:p>
        </w:tc>
        <w:tc>
          <w:tcPr>
            <w:tcW w:type="dxa" w:w="1440"/>
          </w:tcPr>
          <w:p>
            <w:r>
              <w:rPr>
                <w:sz w:val="18"/>
              </w:rPr>
              <w:t>−4.39</w:t>
            </w:r>
          </w:p>
        </w:tc>
        <w:tc>
          <w:tcPr>
            <w:tcW w:type="dxa" w:w="1440"/>
          </w:tcPr>
          <w:p>
            <w:r>
              <w:rPr>
                <w:sz w:val="18"/>
              </w:rPr>
              <w:t>final-epoch val diff</w:t>
            </w:r>
          </w:p>
        </w:tc>
      </w:tr>
      <w:tr>
        <w:tc>
          <w:tcPr>
            <w:tcW w:type="dxa" w:w="1440"/>
          </w:tcPr>
          <w:p>
            <w:r>
              <w:rPr>
                <w:sz w:val="18"/>
              </w:rPr>
              <w:t>p_vistod15</w:t>
            </w:r>
          </w:p>
        </w:tc>
        <w:tc>
          <w:tcPr>
            <w:tcW w:type="dxa" w:w="1440"/>
          </w:tcPr>
          <w:p>
            <w:r>
              <w:rPr>
                <w:b/>
                <w:sz w:val="18"/>
              </w:rPr>
              <w:t>−3.315</w:t>
            </w:r>
          </w:p>
        </w:tc>
        <w:tc>
          <w:tcPr>
            <w:tcW w:type="dxa" w:w="1440"/>
          </w:tcPr>
          <w:p>
            <w:r>
              <w:rPr>
                <w:sz w:val="18"/>
              </w:rPr>
              <w:t>−7.072</w:t>
            </w:r>
          </w:p>
        </w:tc>
        <w:tc>
          <w:tcPr>
            <w:tcW w:type="dxa" w:w="1440"/>
          </w:tcPr>
          <w:p>
            <w:r>
              <w:rPr>
                <w:sz w:val="18"/>
              </w:rPr>
              <w:t>−0.213</w:t>
            </w:r>
          </w:p>
        </w:tc>
        <w:tc>
          <w:tcPr>
            <w:tcW w:type="dxa" w:w="1440"/>
          </w:tcPr>
          <w:p>
            <w:r>
              <w:rPr>
                <w:sz w:val="18"/>
              </w:rPr>
              <w:t>+3.971</w:t>
            </w:r>
          </w:p>
        </w:tc>
        <w:tc>
          <w:tcPr>
            <w:tcW w:type="dxa" w:w="1440"/>
          </w:tcPr>
          <w:p>
            <w:r>
              <w:rPr>
                <w:sz w:val="18"/>
              </w:rPr>
              <w:t>final-epoch val diff</w:t>
            </w:r>
          </w:p>
        </w:tc>
      </w:tr>
      <w:tr>
        <w:tc>
          <w:tcPr>
            <w:tcW w:type="dxa" w:w="1440"/>
          </w:tcPr>
          <w:p>
            <w:r>
              <w:rPr>
                <w:sz w:val="18"/>
              </w:rPr>
              <w:t>p_aitovis</w:t>
            </w:r>
          </w:p>
        </w:tc>
        <w:tc>
          <w:tcPr>
            <w:tcW w:type="dxa" w:w="1440"/>
          </w:tcPr>
          <w:p>
            <w:r>
              <w:rPr>
                <w:b/>
                <w:sz w:val="18"/>
              </w:rPr>
              <w:t>−1.226</w:t>
            </w:r>
          </w:p>
        </w:tc>
        <w:tc>
          <w:tcPr>
            <w:tcW w:type="dxa" w:w="1440"/>
          </w:tcPr>
          <w:p>
            <w:r>
              <w:rPr>
                <w:sz w:val="18"/>
              </w:rPr>
              <w:t>−1.583</w:t>
            </w:r>
          </w:p>
        </w:tc>
        <w:tc>
          <w:tcPr>
            <w:tcW w:type="dxa" w:w="1440"/>
          </w:tcPr>
          <w:p>
            <w:r>
              <w:rPr>
                <w:sz w:val="18"/>
              </w:rPr>
              <w:t>+0.090</w:t>
            </w:r>
          </w:p>
        </w:tc>
        <w:tc>
          <w:tcPr>
            <w:tcW w:type="dxa" w:w="1440"/>
          </w:tcPr>
          <w:p>
            <w:r>
              <w:rPr>
                <w:sz w:val="18"/>
              </w:rPr>
              <w:t>+0.267</w:t>
            </w:r>
          </w:p>
        </w:tc>
        <w:tc>
          <w:tcPr>
            <w:tcW w:type="dxa" w:w="1440"/>
          </w:tcPr>
          <w:p>
            <w:r>
              <w:rPr>
                <w:sz w:val="18"/>
              </w:rPr>
              <w:t>final-epoch val diff</w:t>
            </w:r>
          </w:p>
        </w:tc>
      </w:tr>
      <w:tr>
        <w:tc>
          <w:tcPr>
            <w:tcW w:type="dxa" w:w="1440"/>
          </w:tcPr>
          <w:p>
            <w:r>
              <w:rPr>
                <w:sz w:val="18"/>
              </w:rPr>
              <w:t>shwd2sf</w:t>
            </w:r>
          </w:p>
        </w:tc>
        <w:tc>
          <w:tcPr>
            <w:tcW w:type="dxa" w:w="1440"/>
          </w:tcPr>
          <w:p>
            <w:r>
              <w:rPr>
                <w:b/>
                <w:sz w:val="18"/>
              </w:rPr>
              <w:t>+0.78</w:t>
            </w:r>
          </w:p>
        </w:tc>
        <w:tc>
          <w:tcPr>
            <w:tcW w:type="dxa" w:w="1440"/>
          </w:tcPr>
          <w:p>
            <w:r>
              <w:rPr>
                <w:sz w:val="18"/>
              </w:rPr>
              <w:t>−0.33</w:t>
            </w:r>
          </w:p>
        </w:tc>
        <w:tc>
          <w:tcPr>
            <w:tcW w:type="dxa" w:w="1440"/>
          </w:tcPr>
          <w:p>
            <w:r>
              <w:rPr>
                <w:sz w:val="18"/>
              </w:rPr>
              <w:t>+0.60</w:t>
            </w:r>
          </w:p>
        </w:tc>
        <w:tc>
          <w:tcPr>
            <w:tcW w:type="dxa" w:w="1440"/>
          </w:tcPr>
          <w:p>
            <w:r>
              <w:rPr>
                <w:sz w:val="18"/>
              </w:rPr>
              <w:t>+0.51</w:t>
            </w:r>
          </w:p>
        </w:tc>
        <w:tc>
          <w:tcPr>
            <w:tcW w:type="dxa" w:w="1440"/>
          </w:tcPr>
          <w:p>
            <w:r>
              <w:rPr>
                <w:sz w:val="18"/>
              </w:rPr>
              <w:t>Δprem</w:t>
            </w:r>
          </w:p>
        </w:tc>
      </w:tr>
      <w:tr>
        <w:tc>
          <w:tcPr>
            <w:tcW w:type="dxa" w:w="1440"/>
          </w:tcPr>
          <w:p>
            <w:r>
              <w:rPr>
                <w:sz w:val="18"/>
              </w:rPr>
              <w:t>smoke2sf</w:t>
            </w:r>
          </w:p>
        </w:tc>
        <w:tc>
          <w:tcPr>
            <w:tcW w:type="dxa" w:w="1440"/>
          </w:tcPr>
          <w:p>
            <w:r>
              <w:rPr>
                <w:b/>
                <w:sz w:val="18"/>
              </w:rPr>
              <w:t>+0.46</w:t>
            </w:r>
          </w:p>
        </w:tc>
        <w:tc>
          <w:tcPr>
            <w:tcW w:type="dxa" w:w="1440"/>
          </w:tcPr>
          <w:p>
            <w:r>
              <w:rPr>
                <w:sz w:val="18"/>
              </w:rPr>
              <w:t>−1.06</w:t>
            </w:r>
          </w:p>
        </w:tc>
        <w:tc>
          <w:tcPr>
            <w:tcW w:type="dxa" w:w="1440"/>
          </w:tcPr>
          <w:p>
            <w:r>
              <w:rPr>
                <w:sz w:val="18"/>
              </w:rPr>
              <w:t>+0.09</w:t>
            </w:r>
          </w:p>
        </w:tc>
        <w:tc>
          <w:tcPr>
            <w:tcW w:type="dxa" w:w="1440"/>
          </w:tcPr>
          <w:p>
            <w:r>
              <w:rPr>
                <w:sz w:val="18"/>
              </w:rPr>
              <w:t>+1.43</w:t>
            </w:r>
          </w:p>
        </w:tc>
        <w:tc>
          <w:tcPr>
            <w:tcW w:type="dxa" w:w="1440"/>
          </w:tcPr>
          <w:p>
            <w:r>
              <w:rPr>
                <w:sz w:val="18"/>
              </w:rPr>
              <w:t>−test diff</w:t>
            </w:r>
          </w:p>
        </w:tc>
      </w:tr>
      <w:tr>
        <w:tc>
          <w:tcPr>
            <w:tcW w:type="dxa" w:w="1440"/>
          </w:tcPr>
          <w:p>
            <w:r>
              <w:rPr>
                <w:sz w:val="18"/>
              </w:rPr>
              <w:t>dota</w:t>
            </w:r>
          </w:p>
        </w:tc>
        <w:tc>
          <w:tcPr>
            <w:tcW w:type="dxa" w:w="1440"/>
          </w:tcPr>
          <w:p>
            <w:r>
              <w:rPr>
                <w:b/>
                <w:sz w:val="18"/>
              </w:rPr>
              <w:t>+0.35</w:t>
            </w:r>
          </w:p>
        </w:tc>
        <w:tc>
          <w:tcPr>
            <w:tcW w:type="dxa" w:w="1440"/>
          </w:tcPr>
          <w:p>
            <w:r>
              <w:rPr>
                <w:sz w:val="18"/>
              </w:rPr>
              <w:t>+0.75</w:t>
            </w:r>
          </w:p>
        </w:tc>
        <w:tc>
          <w:tcPr>
            <w:tcW w:type="dxa" w:w="1440"/>
          </w:tcPr>
          <w:p>
            <w:r>
              <w:rPr>
                <w:sz w:val="18"/>
              </w:rPr>
              <w:t>+0.54</w:t>
            </w:r>
          </w:p>
        </w:tc>
        <w:tc>
          <w:tcPr>
            <w:tcW w:type="dxa" w:w="1440"/>
          </w:tcPr>
          <w:p>
            <w:r>
              <w:rPr>
                <w:sz w:val="18"/>
              </w:rPr>
              <w:t>−0.93</w:t>
            </w:r>
          </w:p>
        </w:tc>
        <w:tc>
          <w:tcPr>
            <w:tcW w:type="dxa" w:w="1440"/>
          </w:tcPr>
          <w:p>
            <w:r>
              <w:rPr>
                <w:sz w:val="18"/>
              </w:rPr>
              <w:t>−test diff</w:t>
            </w:r>
          </w:p>
        </w:tc>
      </w:tr>
    </w:tbl>
    <w:p/>
    <w:p>
      <w:pPr>
        <w:pStyle w:val="Heading2"/>
      </w:pPr>
      <w:r>
        <w:t>Table S11 — moved from *6.1 The result under four units*</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b/>
                <w:sz w:val="18"/>
              </w:rPr>
              <w:t>reported − clean</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pStyle w:val="Heading2"/>
      </w:pPr>
      <w:r>
        <w:t>Table S12 — moved from *6.2 "Same directory" has four levels, and the audit reported only the narrowest*</w:t>
      </w:r>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pStyle w:val="Heading2"/>
      </w:pPr>
      <w:r>
        <w:t>Table S13 — moved from *6.3 We do **not** reproduce the original audit's two numbers, and we say why*</w:t>
      </w:r>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pStyle w:val="Heading2"/>
      </w:pPr>
      <w:r>
        <w:t>Table S14 — moved from *6.5 Across frameworks: is the convention specific to YOLO?*</w:t>
      </w:r>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the base config has no test split at all</w:t>
            </w:r>
            <w:r>
              <w:rPr>
                <w:sz w:val="18"/>
              </w:rPr>
              <w:t xml:space="preserve"> (train and val dataloaders only)</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pStyle w:val="Heading2"/>
      </w:pPr>
      <w:r>
        <w:t>Table S15 — moved from *7.2 Both conventions become significant only at n ≥ 6*</w:t>
      </w:r>
    </w:p>
    <w:p>
      <w:pPr>
        <w:spacing w:after="200"/>
      </w:pPr>
      <w:r>
        <w:rPr>
          <w:b/>
          <w:sz w:val="19"/>
        </w:rPr>
        <w:t>Table S15.</w:t>
      </w:r>
      <w:r>
        <w:rPr>
          <w:sz w:val="19"/>
        </w:rPr>
        <w:t xml:space="preserve"> </w:t>
      </w:r>
      <w:r>
        <w:rPr>
          <w:i/>
          <w:sz w:val="19"/>
        </w:rPr>
        <w:t>7.2 Both conventions become significant only at n ≥ 6</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pStyle w:val="Heading2"/>
      </w:pPr>
      <w:r>
        <w:t>Table S16 — moved from *7.3 A cross-archive endpoint conflict on the same run (investigated — and itself a disclosure)*</w:t>
      </w:r>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pStyle w:val="Heading2"/>
      </w:pPr>
      <w:r>
        <w:t>Table S17 — moved from *8.1 The protocol is the companion's; the measurement under it is this paper's*</w:t>
      </w:r>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pStyle w:val="Heading2"/>
      </w:pPr>
      <w:r>
        <w:t>Table S18 — moved from *8.3 ⭐ A direct measurement of selection inflation*</w:t>
      </w:r>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pStyle w:val="Heading2"/>
      </w:pPr>
      <w:r>
        <w:t>Table S19 — moved from *8.4 The three variance components: the excluded one is the smaller in this sample*</w:t>
      </w:r>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pStyle w:val="Heading2"/>
      </w:pPr>
      <w:r>
        <w:t>Table S20 — moved from *8.6 ⭐ The premium's realization rate: **not significant at claim level**; arm-cell median **17.6 %** (five arm-cells, n = 10; run-weighted **23.3 %**)*</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S21 — moved from *8.7 The per-epoch view: the realization rate is not a constant*</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pStyle w:val="Heading2"/>
      </w:pPr>
      <w:r>
        <w:t>Table S22 — moved from *8.7 The per-epoch view: the realization rate is not a constant*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pStyle w:val="Heading2"/>
      </w:pPr>
      <w:r>
        <w:t>Table S23 — moved from *8.7 The per-epoch view: the realization rate is not a constant*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The five arm-cells printed in Table S20 are repeated with that table's values; the other twenty-one were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checkpoints over 140 runs</w:t>
      </w:r>
      <w:r>
        <w:rPr>
          <w:sz w:val="19"/>
        </w:rPr>
        <w:t xml:space="preserve"> (1,848 evaluations including each run's </w:t>
      </w:r>
      <w:r>
        <w:rPr>
          <w:rFonts w:ascii="Consolas" w:hAnsi="Consolas"/>
          <w:sz w:val="19"/>
        </w:rPr>
        <w:t>best</w:t>
      </w:r>
      <w:r>
        <w:rPr>
          <w:sz w:val="19"/>
        </w:rPr>
        <w:t>/</w:t>
      </w:r>
      <w:r>
        <w:rPr>
          <w:rFonts w:ascii="Consolas" w:hAnsi="Consolas"/>
          <w:sz w:val="19"/>
        </w:rPr>
        <w:t>last</w:t>
      </w:r>
      <w:r>
        <w:rPr>
          <w:sz w:val="19"/>
        </w:rPr>
        <w:t xml:space="preserve"> endpoints),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five of these arm-cells sit at n = 3, and §7.1's power</w:t>
      </w:r>
    </w:p>
    <w:p>
      <w:pPr>
        <w:ind w:left="432"/>
      </w:pPr>
      <w:r>
        <w:rPr>
          <w:color w:val="444444"/>
          <w:sz w:val="20"/>
        </w:rPr>
        <w:t>argument is unchanged.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pStyle w:val="Heading2"/>
      </w:pPr>
      <w:r>
        <w:t>Table S24 — moved from *§9: the registered replication (the criterion is not met — the third row is the one that passes)*</w:t>
      </w:r>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pStyle w:val="Heading2"/>
      </w:pPr>
      <w:r>
        <w:t>Table S25 — moved from *§9: the registered replication (the criterion is not met — the third row is the one that passes)*</w:t>
      </w:r>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pStyle w:val="Heading2"/>
      </w:pPr>
      <w:r>
        <w:t>Table S26 — moved from *§9: the near-matched control C (the gain does **not** depend on a label-space change)*</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pStyle w:val="Heading2"/>
      </w:pPr>
      <w:r>
        <w:t>Table S27 — moved from *9. The registered multi-target replication: transferred to the companion paper*</w:t>
      </w:r>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pStyle w:val="Heading2"/>
      </w:pPr>
      <w:r>
        <w:t>Table S28 — moved from *5.1 Direction: reported in two tiers, and the second tier's sign varies by corpus*</w:t>
      </w:r>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pStyle w:val="Heading2"/>
      </w:pPr>
      <w:r>
        <w:t>Table S29 — moved from *5.1 Direction: reported in two tiers, and the second tier's sign varies by corpus*</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pStyle w:val="Heading2"/>
      </w:pPr>
      <w:r>
        <w:t>Table S37 — moved from *3.2 Six experiments, five judged criteria, on GPU machines, each with its criterion written down first*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C1 met, C2 out of band, so the scaling stays withdrawn; C3 passes on the mean only; C4 not met</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pStyle w:val="Heading2"/>
      </w:pPr>
      <w:r>
        <w:t>Table S31 — moved from *3.2 Six experiments, five judged criteria, on GPU machines, each with its criterion written down first*</w:t>
      </w:r>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pStyle w:val="Heading2"/>
      </w:pPr>
      <w:r>
        <w:t>Table S32 — moved from *3.2 Six experiments, five judged criteria, on GPU machines, each with its criterion written down first*</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pStyle w:val="Heading2"/>
      </w:pPr>
      <w:r>
        <w:t>Table S33 — moved from *3.2 Six experiments, five judged criteria, on GPU machines, each with its criterion written down first*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one machine, four budgets)</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machine, on one stack</w:t>
      </w:r>
      <w:r>
        <w:t>: the</w:t>
      </w:r>
    </w:p>
    <w:p>
      <w:r>
        <w:t>earlier clean batch was cross-machine (E = 50 and E = 400 on one host, E = 100 and E = 200 on a second)</w:t>
      </w:r>
    </w:p>
    <w:p>
      <w:r>
        <w:t>and one of its runs was silently degraded under memory pressure, which is why the series was repeated</w:t>
      </w:r>
    </w:p>
    <w:p>
      <w:r>
        <w:t xml:space="preserve">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single-machine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(cross-machine batch).</w:t>
      </w:r>
      <w:r>
        <w:rPr>
          <w:color w:val="444444"/>
          <w:sz w:val="20"/>
        </w:rPr>
        <w:t xml:space="preserve"> The first clean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it </w:t>
      </w:r>
      <w:r>
        <w:rPr>
          <w:b/>
          <w:color w:val="444444"/>
          <w:sz w:val="20"/>
        </w:rPr>
        <w:t>mixed two machines</w:t>
      </w:r>
      <w:r>
        <w:rPr>
          <w:color w:val="444444"/>
          <w:sz w:val="20"/>
        </w:rPr>
        <w:t xml:space="preserve">, and one of its runs was </w:t>
      </w:r>
      <w:r>
        <w:rPr>
          <w:b/>
          <w:color w:val="444444"/>
          <w:sz w:val="20"/>
        </w:rPr>
        <w:t>silently degraded under memory pressure</w:t>
      </w:r>
      <w:r>
        <w:rPr>
          <w:color w:val="444444"/>
          <w:sz w:val="20"/>
        </w:rPr>
        <w:t xml:space="preserve"> (the</w:t>
      </w:r>
    </w:p>
    <w:p>
      <w:pPr>
        <w:ind w:left="432"/>
      </w:pPr>
      <w:r>
        <w:rPr>
          <w:color w:val="444444"/>
          <w:sz w:val="20"/>
        </w:rPr>
        <w:t>training path changed without a marker, recorded in this revision's run audit).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Seven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independently on each of two machines</w:t>
      </w:r>
      <w:r>
        <w:t xml:space="preserve"> with that same script and seed,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the seeding effect across machines</w:t>
      </w:r>
    </w:p>
    <w:p>
      <w:r>
        <w:t>is absent (</w:t>
      </w:r>
      <w:r>
        <w:rPr>
          <w:rFonts w:ascii="Consolas" w:hAnsi="Consolas"/>
          <w:sz w:val="19"/>
        </w:rPr>
        <w:t>prem_val</w:t>
      </w:r>
      <w:r>
        <w:t xml:space="preserve"> correlation </w:t>
      </w:r>
      <w:r>
        <w:rPr>
          <w:b/>
        </w:rPr>
        <w:t>+0.040</w:t>
      </w:r>
      <w:r>
        <w:t>, n = 6 shared seeds),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(Table S10)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Assume V(e) = v(e) + ε_e and T(e) = v(e) + τ + η_e with E[ε] = E[η] = 0, ε, η</w:t>
      </w:r>
    </w:p>
    <w:p>
      <w:r>
        <w:t>independent of v, and η independent of the 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E[premium_test] = E[premium_val] − E[ε_ê − ε_{e_f}]. (iv) Since ê maximises V = v + ε, the selected</w:t>
      </w:r>
    </w:p>
    <w:p>
      <w:r>
        <w:t>checkpoint carries positive noise in expectation, so E[ε_ê − ε_{e_f}] ≥ 0; the equality case is</w:t>
      </w:r>
    </w:p>
    <w:p>
      <w:r>
        <w:t>selection on the signal alone. ∎</w:t>
      </w:r>
    </w:p>
    <w:p>
      <w:r>
        <w:rPr>
          <w:b/>
        </w:rPr>
        <w:t>Which assumption carries which half.</w:t>
      </w:r>
      <w:r>
        <w:t xml:space="preserve"> The inequality (≤) needs only "ê is chosen using V" — that</w:t>
      </w:r>
    </w:p>
    <w:p>
      <w:r>
        <w:t xml:space="preserve">is exactly the convention under audit, so the </w:t>
      </w:r>
      <w:r>
        <w:rPr>
          <w:i/>
        </w:rPr>
        <w:t>direction</w:t>
      </w:r>
      <w:r>
        <w:t xml:space="preserve"> is robust. The closed form additionally</w:t>
      </w:r>
    </w:p>
    <w:p>
      <w:r>
        <w:t>needs η to stay out of the selection; under aliasing (</w:t>
      </w:r>
      <w:r>
        <w:rPr>
          <w:rFonts w:ascii="Consolas" w:hAnsi="Consolas"/>
          <w:sz w:val="19"/>
        </w:rPr>
        <w:t>val</w:t>
      </w:r>
      <w:r>
        <w:t xml:space="preserve"> and </w:t>
      </w:r>
      <w:r>
        <w:rPr>
          <w:rFonts w:ascii="Consolas" w:hAnsi="Consolas"/>
          <w:sz w:val="19"/>
        </w:rPr>
        <w:t>test</w:t>
      </w:r>
      <w:r>
        <w:t xml:space="preserve"> the same split) the two noises</w:t>
      </w:r>
    </w:p>
    <w:p>
      <w:r>
        <w:t>coincide and the closed form does not apply — which is why §12 treats the aliased cells' realization</w:t>
      </w:r>
    </w:p>
    <w:p>
      <w:r>
        <w:t>figure as a magnitude statement about 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single-machine clean batch</w:t>
      </w:r>
      <w:r>
        <w:t xml:space="preserve">: one host (B),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cross-machine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cross-machine reading and the reason the series was re-run.</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w:t>
      </w:r>
    </w:p>
    <w:p>
      <w:r>
        <w:t xml:space="preserve">paired test +0.278 pp, t = 3.678, p = 7.1×10⁻⁴, positive in 26 of 40 runs). The </w:t>
      </w:r>
      <w:r>
        <w:rPr>
          <w:i/>
        </w:rPr>
        <w:t>mechanism</w:t>
      </w:r>
      <w:r>
        <w:t xml:space="preserve"> is</w:t>
      </w:r>
    </w:p>
    <w:p>
      <w:r>
        <w:rPr>
          <w:b/>
        </w:rPr>
        <w:t>consistent but not significant on four cells</w:t>
      </w:r>
      <w:r>
        <w:t>, so we report it as a candidate and not as a result.</w:t>
      </w:r>
    </w:p>
    <w:p>
      <w:r>
        <w:t xml:space="preserve">Settling it needs more corpus cells with per-epoch </w:t>
      </w:r>
      <w:r>
        <w:rPr>
          <w:rFonts w:ascii="Consolas" w:hAnsi="Consolas"/>
          <w:sz w:val="19"/>
        </w:rPr>
        <w:t>test</w:t>
      </w:r>
      <w:r>
        <w:t xml:space="preserve"> readouts — the direction of the effect is</w:t>
      </w:r>
    </w:p>
    <w:p>
      <w:r>
        <w:t>already pinned down by the four we have, but four points cannot carry a significance claim. The</w:t>
      </w:r>
    </w:p>
    <w:p>
      <w:r>
        <w:rPr>
          <w:rFonts w:ascii="Consolas" w:hAnsi="Consolas"/>
          <w:sz w:val="19"/>
        </w:rPr>
        <w:t>test</w:t>
      </w:r>
      <w:r>
        <w:t xml:space="preserve"> side of the remaining corpora has since been closed (Table S38), so the extension can be run</w:t>
      </w:r>
    </w:p>
    <w:p>
      <w:r>
        <w:t>on the release; we do not read it here rather than report it as settled.</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w:t>
      </w:r>
    </w:p>
    <w:p>
      <w:r>
        <w:t xml:space="preserve">premium(400)/premium(100) = 1.873 falls </w:t>
      </w:r>
      <w:r>
        <w:rPr>
          <w:i/>
        </w:rPr>
        <w:t>outside</w:t>
      </w:r>
      <w:r>
        <w:t xml:space="preserve"> the band (C2 rejected, the shape reading restored).</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only that ê is chosen on </w:t>
      </w:r>
      <w:r>
        <w:rPr>
          <w:rFonts w:ascii="Consolas" w:hAnsi="Consolas"/>
          <w:sz w:val="19"/>
        </w:rPr>
        <w:t>val</w:t>
      </w:r>
      <w:r>
        <w:t xml:space="preserve"> (the convention under audit);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w:t>
      </w:r>
      <w:r>
        <w:rPr>
          <w:b/>
        </w:rPr>
        <w:t>5 sources do not state a licence</w:t>
      </w:r>
      <w:r>
        <w:t xml:space="preserve"> (Kaggle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25 official files</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ran on machine A with A-side third-party YAMLs,</w:t>
      </w:r>
    </w:p>
    <w:p>
      <w:r>
        <w:t>the n = 10 cells on machine B under the same protocol; cross-machine comparability must be noted.</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
      <w:pPr>
        <w:pStyle w:val="Heading2"/>
      </w:pPr>
      <w:r>
        <w:t>7.2 Both conventions become significant only at n ≥ 6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3.57·sd</w:t>
      </w:r>
      <w:r>
        <w:t xml:space="preserve"> — </w:t>
      </w:r>
      <w:r>
        <w:rPr>
          <w:b/>
        </w:rPr>
        <w:t>correcting an earlier `3.10·sd`, which divided by n rather than √n</w:t>
      </w:r>
      <w:r>
        <w:t xml:space="preserve"> — i.e. </w:t>
      </w:r>
      <w:r>
        <w:rPr>
          <w:b/>
        </w:rPr>
        <w:t>0.7–2.4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The declared confirmatory family</w:t>
      </w:r>
    </w:p>
    <w:p>
      <w:r>
        <w:t>is this 13-cell scan, with raw and BH-adjusted p-values side by side (</w:t>
      </w:r>
      <w:r>
        <w:rPr>
          <w:b/>
        </w:rPr>
        <w:t>Table S8</w:t>
      </w:r>
      <w:r>
        <w:t>), BH at q = 0.05 and</w:t>
      </w:r>
    </w:p>
    <w:p>
      <w:r>
        <w:rPr>
          <w:b/>
        </w:rPr>
        <w:t>Holm across the two targets</w:t>
      </w:r>
      <w:r>
        <w:t xml:space="preserve"> of the escalation plan; the **0 → 3 move after escalation is</w:t>
      </w:r>
    </w:p>
    <w:p>
      <w:r>
        <w:t>descriptive</w:t>
      </w:r>
      <w:r>
        <w:rPr>
          <w:b/>
        </w:rPr>
        <w:t>. The three cells BH leaves significant are `p_vistod15` (</w:t>
      </w:r>
      <w:r>
        <w:t xml:space="preserve">6.5×10⁻⁹**),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13-cell Δgap values and readings are in Table 2.</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[14]</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 second-machine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on a second machine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larger than the cross-machine band this submission measured (same configuration,</w:t>
      </w:r>
    </w:p>
    <w:p>
      <w:pPr>
        <w:ind w:left="432"/>
      </w:pPr>
      <w:r>
        <w:rPr>
          <w:color w:val="444444"/>
          <w:sz w:val="20"/>
        </w:rPr>
        <w:t>one machine to another: mean |delta| 0.362-0.442 pp, maximum 0.810-1.110 pp; §12, Table S39), so the difference</w:t>
      </w:r>
    </w:p>
    <w:p>
      <w:pPr>
        <w:ind w:left="432"/>
      </w:pPr>
      <w:r>
        <w:rPr>
          <w:color w:val="444444"/>
          <w:sz w:val="20"/>
        </w:rPr>
        <w:t xml:space="preserve">is recorded as </w:t>
      </w:r>
      <w:r>
        <w:rPr>
          <w:b/>
          <w:color w:val="444444"/>
          <w:sz w:val="20"/>
        </w:rPr>
        <w:t>unidentified</w:t>
      </w:r>
      <w:r>
        <w:rPr>
          <w:color w:val="444444"/>
          <w:sz w:val="20"/>
        </w:rPr>
        <w:t xml:space="preserve"> and is </w:t>
      </w:r>
      <w:r>
        <w:rPr>
          <w:b/>
          <w:color w:val="444444"/>
          <w:sz w:val="20"/>
        </w:rPr>
        <w:t>not</w:t>
      </w:r>
      <w:r>
        <w:rPr>
          <w:color w:val="444444"/>
          <w:sz w:val="20"/>
        </w:rPr>
        <w:t xml:space="preserve"> read 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different machine from the rest of</w:t>
      </w:r>
    </w:p>
    <w:p>
      <w:pPr>
        <w:ind w:left="432"/>
      </w:pPr>
      <w:r>
        <w:rPr>
          <w:color w:val="444444"/>
          <w:sz w:val="20"/>
        </w:rPr>
        <w:t xml:space="preserve">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cross-machine band this submission</w:t>
      </w:r>
    </w:p>
    <w:p>
      <w:pPr>
        <w:ind w:left="432"/>
      </w:pPr>
      <w:r>
        <w:rPr>
          <w:color w:val="444444"/>
          <w:sz w:val="20"/>
        </w:rPr>
        <w:t>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An independent second coding of the 19-row marking table</w:t>
      </w:r>
    </w:p>
    <w:p>
      <w:r>
        <w:rPr>
          <w:b/>
        </w:rPr>
        <w:t>What was done, and what was not.</w:t>
      </w:r>
      <w:r>
        <w:t xml:space="preserve"> The 19 x 4 = 76 judgements printed in S1 were re-coded independently; the </w:t>
      </w:r>
      <w:r>
        <w:rPr>
          <w:b/>
        </w:rPr>
        <w:t>28 literal judgements</w:t>
      </w:r>
      <w:r>
        <w:t xml:space="preserve"> the article's §6.1 names are the entries the single rater wrote into the audit document, i.e. the same table counted in two units (written entries vs cells).</w:t>
      </w:r>
    </w:p>
    <w:p>
      <w:r>
        <w:t>Three coders -- three language models from distinct vendors -- each worked blind: they received the</w:t>
      </w:r>
    </w:p>
    <w:p>
      <w:r>
        <w:t>published coding rules and, per row, the evidence pointer the audit recorded, and nothing else: no marks,</w:t>
      </w:r>
    </w:p>
    <w:p>
      <w:r>
        <w:t>no confidences, and no access to this supplement or to the audit's records. They worked from the recorded</w:t>
      </w:r>
    </w:p>
    <w:p>
      <w:r>
        <w:t>pointers rather than from the primary documents, which this archive does not hold, and that limitation is</w:t>
      </w:r>
    </w:p>
    <w:p>
      <w:r>
        <w:t>part of the result rather than incidental to it. A second pass then repeated the exercise under rules</w:t>
      </w:r>
    </w:p>
    <w:p>
      <w:r>
        <w:t xml:space="preserve">clarified in the four places the first pass's coders had independently flagged: whether </w:t>
      </w:r>
      <w:r>
        <w:rPr>
          <w:rFonts w:ascii="Consolas" w:hAnsi="Consolas"/>
          <w:sz w:val="19"/>
        </w:rPr>
        <w:t>release</w:t>
      </w:r>
      <w:r>
        <w:t xml:space="preserve"> answers</w:t>
      </w:r>
    </w:p>
    <w:p>
      <w:r>
        <w:t xml:space="preserve">structural independence or local evaluability; the reference frame for </w:t>
      </w:r>
      <w:r>
        <w:rPr>
          <w:rFonts w:ascii="Consolas" w:hAnsi="Consolas"/>
          <w:sz w:val="19"/>
        </w:rPr>
        <w:t>reported</w:t>
      </w:r>
      <w:r>
        <w:t>; corpora with only</w:t>
      </w:r>
    </w:p>
    <w:p>
      <w:r>
        <w:rPr>
          <w:rFonts w:ascii="Consolas" w:hAnsi="Consolas"/>
          <w:sz w:val="19"/>
        </w:rPr>
        <w:t>train</w:t>
      </w:r>
      <w:r>
        <w:t xml:space="preserve"> and </w:t>
      </w:r>
      <w:r>
        <w:rPr>
          <w:rFonts w:ascii="Consolas" w:hAnsi="Consolas"/>
          <w:sz w:val="19"/>
        </w:rPr>
        <w:t>val</w:t>
      </w:r>
      <w:r>
        <w:t>; and same-family versions such as VOC 2007/2012. The clarification is recorded verbatim</w:t>
      </w:r>
    </w:p>
    <w:p>
      <w:r>
        <w:t>and was written AFTER the first pass, so the two passes are reported separately rather than pooled.</w:t>
      </w:r>
    </w:p>
    <w:p>
      <w:r>
        <w:rPr>
          <w:b/>
        </w:rPr>
        <w:t>What the two passes show.</w:t>
      </w:r>
      <w:r>
        <w:t xml:space="preserve"> Against the printed coding, agreement is fair to moderate and does not</w:t>
      </w:r>
    </w:p>
    <w:p>
      <w:r>
        <w:t>improve when the rules are clarified: per-coder kappa is 0.272 / 0.321 / 0.437 in the first pass and</w:t>
      </w:r>
    </w:p>
    <w:p>
      <w:r>
        <w:t>0.209 / 0.217 / 0.348 in the second (mean 0.343 -&gt; 0.258), while the coders' agreement WITH EACH OTHER</w:t>
      </w:r>
    </w:p>
    <w:p>
      <w:r>
        <w:t>rises over the same interval (pairwise kappa 0.559-0.672 -&gt; 0.671-0.723). Excluding the cells a coder</w:t>
      </w:r>
    </w:p>
    <w:p>
      <w:r>
        <w:t xml:space="preserve">marked </w:t>
      </w:r>
      <w:r>
        <w:rPr>
          <w:rFonts w:ascii="Consolas" w:hAnsi="Consolas"/>
          <w:sz w:val="19"/>
        </w:rPr>
        <w:t>unknown</w:t>
      </w:r>
      <w:r>
        <w:t xml:space="preserve"> moves the first pass to 0.323-0.570. Because the mapping from the table's marker</w:t>
      </w:r>
    </w:p>
    <w:p>
      <w:r>
        <w:t>vocabulary to yes/no/unknown is itself a convention, the whole computation is repeated under the</w:t>
      </w:r>
    </w:p>
    <w:p>
      <w:r>
        <w:t>alternative reading of the two vocabulary items that are genuinely ambiguous; that moves the mean by</w:t>
      </w:r>
    </w:p>
    <w:p>
      <w:r>
        <w:t>about +-0.06 (0.316-0.405) and changes nothing qualitative.</w:t>
      </w:r>
    </w:p>
    <w:p>
      <w:r>
        <w:rPr>
          <w:b/>
        </w:rPr>
        <w:t>What it means, and what it does not.</w:t>
      </w:r>
      <w:r>
        <w:t xml:space="preserve"> The residual disagreement is therefore not mainly rule wording:</w:t>
      </w:r>
    </w:p>
    <w:p>
      <w:r>
        <w:t>two coders who agree with each other at kappa ~0.7 agree with the printed coding at only kappa ~0.2-0.3,</w:t>
      </w:r>
    </w:p>
    <w:p>
      <w:r>
        <w:t>and clarifying the rules widens that gap rather than closing it. The most plausible reading is an</w:t>
      </w:r>
    </w:p>
    <w:p>
      <w:r>
        <w:t>evidence-channel difference rather than a disagreement about the rules: the printed coding was made with</w:t>
      </w:r>
    </w:p>
    <w:p>
      <w:r>
        <w:t>the primary documents in hand, and the second coders had the recorded pointers. Two limits belong with</w:t>
      </w:r>
    </w:p>
    <w:p>
      <w:r>
        <w:t>those numbers and are stated here rather than left implicit: the three coders are language models, so</w:t>
      </w:r>
    </w:p>
    <w:p>
      <w:r>
        <w:t>their errors may be correlated and three of them are not three independent raters; and the weakest unit</w:t>
      </w:r>
    </w:p>
    <w:p>
      <w:r>
        <w:t xml:space="preserve">is </w:t>
      </w:r>
      <w:r>
        <w:rPr>
          <w:rFonts w:ascii="Consolas" w:hAnsi="Consolas"/>
          <w:sz w:val="19"/>
        </w:rPr>
        <w:t>reported</w:t>
      </w:r>
      <w:r>
        <w:t xml:space="preserve"> (per-unit kappa ~0.10), which is the unit the headline count rests on, because which split</w:t>
      </w:r>
    </w:p>
    <w:p>
      <w:r>
        <w:t>the literature's number comes from is not decidable from any single file.</w:t>
      </w:r>
    </w:p>
    <w:p>
      <w:r>
        <w:rPr>
          <w:b/>
        </w:rPr>
        <w:t>A third round, with eight more coders, and what it settles (2026-09-29).</w:t>
      </w:r>
      <w:r>
        <w:t xml:space="preserve"> Eight further language</w:t>
      </w:r>
    </w:p>
    <w:p>
      <w:r>
        <w:t xml:space="preserve">models — </w:t>
      </w:r>
      <w:r>
        <w:rPr>
          <w:b/>
        </w:rPr>
        <w:t>five from vendors not represented in the first two rounds</w:t>
      </w:r>
      <w:r>
        <w:t xml:space="preserve"> and </w:t>
      </w:r>
      <w:r>
        <w:rPr>
          <w:b/>
        </w:rPr>
        <w:t>three from vendors that were</w:t>
      </w:r>
      <w:r>
        <w:t xml:space="preserve"> — each coded the same 19 x 4 table blind, in a fresh</w:t>
      </w:r>
    </w:p>
    <w:p>
      <w:r>
        <w:t>session, under the SAME clarified rules as the second pass, receiving the rules and the per-row</w:t>
      </w:r>
    </w:p>
    <w:p>
      <w:r>
        <w:t>evidence pointers and nothing else; they produced in-chat answers, transcribed verbatim by the</w:t>
      </w:r>
    </w:p>
    <w:p>
      <w:r>
        <w:t>coordinator, so that no coder could see any other coder's output or any file. Against the printed</w:t>
      </w:r>
    </w:p>
    <w:p>
      <w:r>
        <w:t xml:space="preserve">coding the eight agree at per-coder kappa </w:t>
      </w:r>
      <w:r>
        <w:rPr>
          <w:b/>
        </w:rPr>
        <w:t>0.105-0.325</w:t>
      </w:r>
      <w:r>
        <w:t xml:space="preserve"> (median 0.308 — eight values, and </w:t>
      </w:r>
      <w:r>
        <w:rPr>
          <w:b/>
        </w:rPr>
        <w:t>every median in this section takes the upper of the two central values</w:t>
      </w:r>
      <w:r>
        <w:t xml:space="preserve">, </w:t>
      </w:r>
      <w:r>
        <w:rPr>
          <w:rFonts w:ascii="Consolas" w:hAnsi="Consolas"/>
          <w:sz w:val="19"/>
        </w:rPr>
        <w:t>sorted(ks)[len(ks)//2]</w:t>
      </w:r>
      <w:r>
        <w:t xml:space="preserve">; per unit: </w:t>
      </w:r>
      <w:r>
        <w:rPr>
          <w:rFonts w:ascii="Consolas" w:hAnsi="Consolas"/>
          <w:sz w:val="19"/>
        </w:rPr>
        <w:t>protocol</w:t>
      </w:r>
    </w:p>
    <w:p>
      <w:r>
        <w:t xml:space="preserve">0.03-0.54, </w:t>
      </w:r>
      <w:r>
        <w:rPr>
          <w:rFonts w:ascii="Consolas" w:hAnsi="Consolas"/>
          <w:sz w:val="19"/>
        </w:rPr>
        <w:t>release</w:t>
      </w:r>
      <w:r>
        <w:t xml:space="preserve"> 0.06-0.50, </w:t>
      </w:r>
      <w:r>
        <w:rPr>
          <w:rFonts w:ascii="Consolas" w:hAnsi="Consolas"/>
          <w:sz w:val="19"/>
        </w:rPr>
        <w:t>yolo_dist</w:t>
      </w:r>
      <w:r>
        <w:t xml:space="preserve"> 0.00-0.42, </w:t>
      </w:r>
      <w:r>
        <w:rPr>
          <w:rFonts w:ascii="Consolas" w:hAnsi="Consolas"/>
          <w:sz w:val="19"/>
        </w:rPr>
        <w:t>reported</w:t>
      </w:r>
      <w:r>
        <w:t xml:space="preserve"> 0.04-0.23), i.e. the same</w:t>
      </w:r>
    </w:p>
    <w:p>
      <w:r>
        <w:t>fair-to-moderate band as the three coders of the second pass and no better with nearly three times</w:t>
      </w:r>
    </w:p>
    <w:p>
      <w:r>
        <w:t xml:space="preserve">the coders. Among themselves the eight agree at a median pairwise kappa of </w:t>
      </w:r>
      <w:r>
        <w:rPr>
          <w:b/>
        </w:rPr>
        <w:t>0.504</w:t>
      </w:r>
      <w:r>
        <w:t xml:space="preserve"> (range</w:t>
      </w:r>
    </w:p>
    <w:p>
      <w:r>
        <w:t xml:space="preserve">0.046-0.824) and their Fleiss' kappa is </w:t>
      </w:r>
      <w:r>
        <w:rPr>
          <w:b/>
        </w:rPr>
        <w:t>0.455</w:t>
      </w:r>
      <w:r>
        <w:t xml:space="preserve"> overall (0.468 </w:t>
      </w:r>
      <w:r>
        <w:rPr>
          <w:rFonts w:ascii="Consolas" w:hAnsi="Consolas"/>
          <w:sz w:val="19"/>
        </w:rPr>
        <w:t>protocol</w:t>
      </w:r>
      <w:r>
        <w:t xml:space="preserve">, 0.429 </w:t>
      </w:r>
      <w:r>
        <w:rPr>
          <w:rFonts w:ascii="Consolas" w:hAnsi="Consolas"/>
          <w:sz w:val="19"/>
        </w:rPr>
        <w:t>yolo_dist</w:t>
      </w:r>
      <w:r>
        <w:t>,</w:t>
      </w:r>
    </w:p>
    <w:p>
      <w:r>
        <w:t xml:space="preserve">0.271 </w:t>
      </w:r>
      <w:r>
        <w:rPr>
          <w:rFonts w:ascii="Consolas" w:hAnsi="Consolas"/>
          <w:sz w:val="19"/>
        </w:rPr>
        <w:t>release</w:t>
      </w:r>
      <w:r>
        <w:t xml:space="preserve">, </w:t>
      </w:r>
      <w:r>
        <w:rPr>
          <w:b/>
        </w:rPr>
        <w:t>0.254 `reported`</w:t>
      </w:r>
      <w:r>
        <w:t>) -- again highest between coders and lowest against the table.</w:t>
      </w:r>
    </w:p>
    <w:p>
      <w:r>
        <w:t>Three causes were identified in the returns and are worth recording because they bound what this</w:t>
      </w:r>
    </w:p>
    <w:p>
      <w:r>
        <w:t xml:space="preserve">instrument can measure. (i) </w:t>
      </w:r>
      <w:r>
        <w:rPr>
          <w:b/>
        </w:rPr>
        <w:t>Reference frame.</w:t>
      </w:r>
      <w:r>
        <w:t xml:space="preserve"> The instrument asked which half the *official paper</w:t>
      </w:r>
    </w:p>
    <w:p>
      <w:r>
        <w:t>or leaderboard</w:t>
      </w:r>
      <w:r>
        <w:rPr>
          <w:i/>
        </w:rPr>
        <w:t xml:space="preserve"> number came from, whereas the printed column asks which half the number </w:t>
      </w:r>
      <w:r>
        <w:t>the</w:t>
      </w:r>
    </w:p>
    <w:p>
      <w:r>
        <w:t>literature prints* came from; on benchmarks whose official leaderboard is clean but whose community</w:t>
      </w:r>
    </w:p>
    <w:p>
      <w:r>
        <w:t>numbers alias (VOC is the clearest), the coders answered "independent" where the table records</w:t>
      </w:r>
    </w:p>
    <w:p>
      <w:r>
        <w:rPr>
          <w:rFonts w:ascii="Consolas" w:hAnsi="Consolas"/>
          <w:sz w:val="19"/>
        </w:rPr>
        <w:t>alias</w:t>
      </w:r>
      <w:r>
        <w:t xml:space="preserve">, and the eight coders' </w:t>
      </w:r>
      <w:r>
        <w:rPr>
          <w:rFonts w:ascii="Consolas" w:hAnsi="Consolas"/>
          <w:sz w:val="19"/>
        </w:rPr>
        <w:t>reported</w:t>
      </w:r>
      <w:r>
        <w:t>-is-non-independent counts came out at 0, 0, 0, 0, 0, 3, 4</w:t>
      </w:r>
    </w:p>
    <w:p>
      <w:r>
        <w:t>and 5 of 19 against the printed 12 -- a frame difference, not a disagreement about the facts, which</w:t>
      </w:r>
    </w:p>
    <w:p>
      <w:r>
        <w:t xml:space="preserve">is why section 3 now states the frame in the definition of </w:t>
      </w:r>
      <w:r>
        <w:rPr>
          <w:rFonts w:ascii="Consolas" w:hAnsi="Consolas"/>
          <w:sz w:val="19"/>
        </w:rPr>
        <w:t>reported</w:t>
      </w:r>
      <w:r>
        <w:t>. (ii) **No category for</w:t>
      </w:r>
    </w:p>
    <w:p>
      <w:r>
        <w:t xml:space="preserve">"this layer does not exist".** The instrument offered only yes/no/unknown, so the table's </w:t>
      </w:r>
      <w:r>
        <w:rPr>
          <w:rFonts w:ascii="Consolas" w:hAnsi="Consolas"/>
          <w:sz w:val="19"/>
        </w:rPr>
        <w:t>n_a</w:t>
      </w:r>
      <w:r>
        <w:t>,</w:t>
      </w:r>
    </w:p>
    <w:p>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 xml:space="preserve"> and </w:t>
      </w:r>
      <w:r>
        <w:rPr>
          <w:rFonts w:ascii="Consolas" w:hAnsi="Consolas"/>
          <w:sz w:val="19"/>
        </w:rPr>
        <w:t>no_yaml</w:t>
      </w:r>
      <w:r>
        <w:t xml:space="preserve"> marks had to be forced into </w:t>
      </w:r>
      <w:r>
        <w:rPr>
          <w:rFonts w:ascii="Consolas" w:hAnsi="Consolas"/>
          <w:sz w:val="19"/>
        </w:rPr>
        <w:t>unknown</w:t>
      </w:r>
      <w:r>
        <w:t>; the coders</w:t>
      </w:r>
    </w:p>
    <w:p>
      <w:r>
        <w:t>instead answered "yes, the release ships a split" (all eight, for COCO and VOC). (iii) **Version</w:t>
      </w:r>
    </w:p>
    <w:p>
      <w:r>
        <w:t>anchoring** (</w:t>
      </w:r>
      <w:r>
        <w:rPr>
          <w:rFonts w:ascii="Consolas" w:hAnsi="Consolas"/>
          <w:sz w:val="19"/>
        </w:rPr>
        <w:t>Objects365</w:t>
      </w:r>
      <w:r>
        <w:t xml:space="preserve"> v1/v2, VOC 2007/2012, DIOR vs DIOR-R) was flagged by the coders as</w:t>
      </w:r>
    </w:p>
    <w:p>
      <w:r>
        <w:t>undecidable from the pointer alone. All three are instrument properties: **more coders will not</w:t>
      </w:r>
    </w:p>
    <w:p>
      <w:r>
        <w:t>remove them**, and a blind human rater working from the same pointers would meet the same three.</w:t>
      </w:r>
    </w:p>
    <w:p>
      <w:r>
        <w:t>The per-coder, per-unit, pairwise and Fleiss values, the 76 x 8 raw marks and the coders' own</w:t>
      </w:r>
    </w:p>
    <w:p>
      <w:r>
        <w:t>ambiguity reports are held with this revision's measurement batch.</w:t>
      </w:r>
    </w:p>
    <w:p>
      <w:r>
        <w:rPr>
          <w:b/>
        </w:rPr>
        <w:t>Which vintage the numbers just above come from.</w:t>
      </w:r>
      <w:r>
        <w:t xml:space="preserve"> The per-coder range printed above is the </w:t>
      </w:r>
      <w:r>
        <w:rPr>
          <w:b/>
        </w:rPr>
        <w:t>primary</w:t>
      </w:r>
      <w:r>
        <w:t xml:space="preserve"> mapping's (</w:t>
      </w:r>
      <w:r>
        <w:rPr>
          <w:rFonts w:ascii="Consolas" w:hAnsi="Consolas"/>
          <w:sz w:val="19"/>
        </w:rPr>
        <w:t>release: test_gated -&gt; yes</w:t>
      </w:r>
      <w:r>
        <w:t xml:space="preserve">, </w:t>
      </w:r>
      <w:r>
        <w:rPr>
          <w:rFonts w:ascii="Consolas" w:hAnsi="Consolas"/>
          <w:sz w:val="19"/>
        </w:rPr>
        <w:t>protocol: alias -&gt; no</w:t>
      </w:r>
      <w:r>
        <w:t xml:space="preserve">), recomputed for this release as </w:t>
      </w:r>
      <w:r>
        <w:rPr>
          <w:rFonts w:ascii="Consolas" w:hAnsi="Consolas"/>
          <w:sz w:val="19"/>
        </w:rPr>
        <w:t>kappa_g8_primary_20261001.txt</w:t>
      </w:r>
      <w:r>
        <w:t xml:space="preserve"> by the same script that produced the other two reports; under the alternative reading of the two genuinely ambiguous vocabulary items it is </w:t>
      </w:r>
      <w:r>
        <w:rPr>
          <w:b/>
        </w:rPr>
        <w:t>0.063-0.278</w:t>
      </w:r>
      <w:r>
        <w:t xml:space="preserve"> (median </w:t>
      </w:r>
      <w:r>
        <w:rPr>
          <w:b/>
        </w:rPr>
        <w:t>0.260</w:t>
      </w:r>
      <w:r>
        <w:t xml:space="preserve">), which is what the shipped </w:t>
      </w:r>
      <w:r>
        <w:rPr>
          <w:rFonts w:ascii="Consolas" w:hAnsi="Consolas"/>
          <w:sz w:val="19"/>
        </w:rPr>
        <w:t>kappa_g8_20260929.txt</w:t>
      </w:r>
      <w:r>
        <w:t xml:space="preserve"> holds — its own first line names it a sensitivity variant, and </w:t>
      </w:r>
      <w:r>
        <w:rPr>
          <w:rFonts w:ascii="Consolas" w:hAnsi="Consolas"/>
          <w:sz w:val="19"/>
        </w:rPr>
        <w:t>README_second_coding.md</w:t>
      </w:r>
      <w:r>
        <w:t xml:space="preserve"> now says which file is which. The eight verbatim v1 returns ship beside them (</w:t>
      </w:r>
      <w:r>
        <w:rPr>
          <w:rFonts w:ascii="Consolas" w:hAnsi="Consolas"/>
          <w:sz w:val="19"/>
        </w:rPr>
        <w:t>v1_G8_coding_*_20260929.md</w:t>
      </w:r>
      <w:r>
        <w:t xml:space="preserve">), so both readings are recomputable from this package rather than trusted, and the gap between them (about 0.042 on the median) is smaller than the disagreement the round itself measures. The first two passes' verbatim returns are </w:t>
      </w:r>
      <w:r>
        <w:rPr>
          <w:b/>
        </w:rPr>
        <w:t>not</w:t>
      </w:r>
      <w:r>
        <w:t xml:space="preserve"> in this package, so their per-coder values (0.272 / 0.321 / 0.437 and 0.209 / 0.217 / 0.348) are author-side and are printed here as the record's values.</w:t>
      </w:r>
    </w:p>
    <w:p>
      <w:r>
        <w:rPr>
          <w:b/>
        </w:rPr>
        <w:t>A fourth round, on a repaired instrument, and what it changes.</w:t>
      </w:r>
      <w:r>
        <w:t xml:space="preserve"> The three causes above are</w:t>
      </w:r>
    </w:p>
    <w:p>
      <w:r>
        <w:t>properties of the instrument rather than of the coders, so the instrument was repaired and the same</w:t>
      </w:r>
    </w:p>
    <w:p>
      <w:r>
        <w:t>eight coders re-ran the table under it in the same blind conditions: the scale became five-valued</w:t>
      </w:r>
    </w:p>
    <w:p>
      <w:r>
        <w:t>(</w:t>
      </w:r>
      <w:r>
        <w:rPr>
          <w:rFonts w:ascii="Consolas" w:hAnsi="Consolas"/>
          <w:sz w:val="19"/>
        </w:rPr>
        <w:t>independent</w:t>
      </w:r>
      <w:r>
        <w:t xml:space="preserve"> / </w:t>
      </w:r>
      <w:r>
        <w:rPr>
          <w:rFonts w:ascii="Consolas" w:hAnsi="Consolas"/>
          <w:sz w:val="19"/>
        </w:rPr>
        <w:t>alias</w:t>
      </w:r>
      <w:r>
        <w:t xml:space="preserve"> / </w:t>
      </w:r>
      <w:r>
        <w:rPr>
          <w:rFonts w:ascii="Consolas" w:hAnsi="Consolas"/>
          <w:sz w:val="19"/>
        </w:rPr>
        <w:t>absent</w:t>
      </w:r>
      <w:r>
        <w:t xml:space="preserve"> / </w:t>
      </w:r>
      <w:r>
        <w:rPr>
          <w:rFonts w:ascii="Consolas" w:hAnsi="Consolas"/>
          <w:sz w:val="19"/>
        </w:rPr>
        <w:t>gated</w:t>
      </w:r>
      <w:r>
        <w:t xml:space="preserve"> / </w:t>
      </w:r>
      <w:r>
        <w:rPr>
          <w:rFonts w:ascii="Consolas" w:hAnsi="Consolas"/>
          <w:sz w:val="19"/>
        </w:rPr>
        <w:t>unknown</w:t>
      </w:r>
      <w:r>
        <w:t>, so that "this layer does not exist" is no</w:t>
      </w:r>
    </w:p>
    <w:p>
      <w:r>
        <w:t xml:space="preserve">longer forced into </w:t>
      </w:r>
      <w:r>
        <w:rPr>
          <w:rFonts w:ascii="Consolas" w:hAnsi="Consolas"/>
          <w:sz w:val="19"/>
        </w:rPr>
        <w:t>unknown</w:t>
      </w:r>
      <w:r>
        <w:t xml:space="preserve">), the </w:t>
      </w:r>
      <w:r>
        <w:rPr>
          <w:rFonts w:ascii="Consolas" w:hAnsi="Consolas"/>
          <w:sz w:val="19"/>
        </w:rPr>
        <w:t>reported</w:t>
      </w:r>
      <w:r>
        <w:t xml:space="preserve"> frame was stated as </w:t>
      </w:r>
      <w:r>
        <w:rPr>
          <w:b/>
        </w:rPr>
        <w:t>the number the literature prints</w:t>
      </w:r>
      <w:r>
        <w:t>,</w:t>
      </w:r>
    </w:p>
    <w:p>
      <w:r>
        <w:t>and version anchoring was made explicit with worked examples. For the headline quantity the repair did</w:t>
      </w:r>
    </w:p>
    <w:p>
      <w:r>
        <w:t xml:space="preserve">what it was designed to do: the eight coders' own counts of </w:t>
      </w:r>
      <w:r>
        <w:rPr>
          <w:rFonts w:ascii="Consolas" w:hAnsi="Consolas"/>
          <w:sz w:val="19"/>
        </w:rPr>
        <w:t>reported</w:t>
      </w:r>
      <w:r>
        <w:t>-is-non-independent moved from</w:t>
      </w:r>
    </w:p>
    <w:p>
      <w:r>
        <w:t>0, 0, 0, 0, 0, 3, 4 and 5 of 19 under the first instrument to 3, 8, 7, 1, 8, 3, 9 and 14 under the</w:t>
      </w:r>
    </w:p>
    <w:p>
      <w:r>
        <w:t xml:space="preserve">repaired one, so </w:t>
      </w:r>
      <w:r>
        <w:rPr>
          <w:b/>
        </w:rPr>
        <w:t>the printed 12 now lies inside the coders' range instead of outside it</w:t>
      </w:r>
      <w:r>
        <w:t>. It did</w:t>
      </w:r>
    </w:p>
    <w:p>
      <w:r>
        <w:t>not make the table reproducible. Against the printed coding, agreement is 0.116-0.350 per coder</w:t>
      </w:r>
    </w:p>
    <w:p>
      <w:r>
        <w:t>(median 0.326, against 0.105-0.325 before the repair); among themselves the eight agree at a median</w:t>
      </w:r>
    </w:p>
    <w:p>
      <w:r>
        <w:t>pairwise kappa of 0.440, and Fleiss' kappa is 0.417 overall with release 0.457, protocol 0.505 and,</w:t>
      </w:r>
    </w:p>
    <w:p>
      <w:r>
        <w:t xml:space="preserve">again weakest, </w:t>
      </w:r>
      <w:r>
        <w:rPr>
          <w:rFonts w:ascii="Consolas" w:hAnsi="Consolas"/>
          <w:sz w:val="19"/>
        </w:rPr>
        <w:t>yolo_dist</w:t>
      </w:r>
      <w:r>
        <w:t xml:space="preserve"> 0.178 and </w:t>
      </w:r>
      <w:r>
        <w:rPr>
          <w:rFonts w:ascii="Consolas" w:hAnsi="Consolas"/>
          <w:sz w:val="19"/>
        </w:rPr>
        <w:t>reported</w:t>
      </w:r>
      <w:r>
        <w:t xml:space="preserve"> 0.201. </w:t>
      </w:r>
      <w:r>
        <w:rPr>
          <w:b/>
        </w:rPr>
        <w:t>No unit reaches substantial agreement.</w:t>
      </w:r>
      <w:r>
        <w:t xml:space="preserve"> The</w:t>
      </w:r>
    </w:p>
    <w:p>
      <w:r>
        <w:t>residual is once more a convention difference rather than rule wording, and it is locatable: on the</w:t>
      </w:r>
    </w:p>
    <w:p>
      <w:r>
        <w:t xml:space="preserve">nine rows whose </w:t>
      </w:r>
      <w:r>
        <w:rPr>
          <w:rFonts w:ascii="Consolas" w:hAnsi="Consolas"/>
          <w:sz w:val="19"/>
        </w:rPr>
        <w:t>release</w:t>
      </w:r>
      <w:r>
        <w:t xml:space="preserve"> the table marks </w:t>
      </w:r>
      <w:r>
        <w:rPr>
          <w:rFonts w:ascii="Consolas" w:hAnsi="Consolas"/>
          <w:sz w:val="19"/>
        </w:rPr>
        <w:t>absent</w:t>
      </w:r>
      <w:r>
        <w:t xml:space="preserve"> for want of a usable held-out test, the eight</w:t>
      </w:r>
    </w:p>
    <w:p>
      <w:r>
        <w:t xml:space="preserve">coders answered "independent" 40 times, because a release that ships </w:t>
      </w:r>
      <w:r>
        <w:rPr>
          <w:i/>
        </w:rPr>
        <w:t>some</w:t>
      </w:r>
      <w:r>
        <w:t xml:space="preserve"> split looks like an</w:t>
      </w:r>
    </w:p>
    <w:p>
      <w:r>
        <w:t>independent test unless one also knows which of its versions the literature reports from; and where</w:t>
      </w:r>
    </w:p>
    <w:p>
      <w:r>
        <w:t xml:space="preserve">the table records an independent local protocol the coders answered </w:t>
      </w:r>
      <w:r>
        <w:rPr>
          <w:rFonts w:ascii="Consolas" w:hAnsi="Consolas"/>
          <w:sz w:val="19"/>
        </w:rPr>
        <w:t>gated</w:t>
      </w:r>
      <w:r>
        <w:t xml:space="preserve"> 25 times, because the</w:t>
      </w:r>
    </w:p>
    <w:p>
      <w:r>
        <w:t xml:space="preserve">official evaluation is behind a submission server. </w:t>
      </w:r>
      <w:r>
        <w:rPr>
          <w:b/>
        </w:rPr>
        <w:t>How the eleven are counted.</w:t>
      </w:r>
      <w:r>
        <w:t xml:space="preserve"> The first two rounds used the same </w:t>
      </w:r>
      <w:r>
        <w:rPr>
          <w:b/>
        </w:rPr>
        <w:t>three</w:t>
      </w:r>
      <w:r>
        <w:t xml:space="preserve"> models, each coding first under the initial rules and then under the clarified ones; the last two used the same </w:t>
      </w:r>
      <w:r>
        <w:rPr>
          <w:b/>
        </w:rPr>
        <w:t>eight</w:t>
      </w:r>
      <w:r>
        <w:t xml:space="preserve"> — </w:t>
      </w:r>
      <w:r>
        <w:rPr>
          <w:b/>
        </w:rPr>
        <w:t>three</w:t>
      </w:r>
      <w:r>
        <w:t xml:space="preserve"> of them from vendors already represented in the first two rounds and </w:t>
      </w:r>
      <w:r>
        <w:rPr>
          <w:b/>
        </w:rPr>
        <w:t>five</w:t>
      </w:r>
      <w:r>
        <w:t xml:space="preserve"> from vendors not represented there — each coding first on the three-valued instrument and then on the repaired five-valued one. </w:t>
      </w:r>
      <w:r>
        <w:rPr>
          <w:b/>
        </w:rPr>
        <w:t>Distinct model identities: 11; rounds: 4</w:t>
      </w:r>
      <w:r>
        <w:t xml:space="preserve"> (the identities themselves are the shipped returns' own file names, not printed here) — the count the article’s §6.1 prints as "eleven ... (3, then 8) across four rounds"; no coder in any round saw another round’s returns.</w:t>
      </w:r>
    </w:p>
    <w:p>
      <w:r>
        <w:t>The honest summary of **four rounds and eleven</w:t>
      </w:r>
    </w:p>
    <w:p>
      <w:r>
        <w:t>coders** is therefore this: the table's marks are reproducible from the recorded evidence only at</w:t>
      </w:r>
    </w:p>
    <w:p>
      <w:r>
        <w:t>slight-to-fair agreement, the headline count lies **inside the spread of independent counts rather</w:t>
      </w:r>
    </w:p>
    <w:p>
      <w:r>
        <w:t>than reproduced by them**, and no further coding round will change either statement. Both instruments,</w:t>
      </w:r>
    </w:p>
    <w:p>
      <w:r>
        <w:t>the sixteen returns, the per-coder, per-unit, pairwise and Fleiss values and both analysis scripts are</w:t>
      </w:r>
    </w:p>
    <w:p>
      <w:r>
        <w:t>held with this revision's measurement batch.</w:t>
      </w:r>
    </w:p>
    <w:p>
      <w:r>
        <w:rPr>
          <w:b/>
        </w:rPr>
        <w:t>The consequence for this paper's claims.</w:t>
      </w:r>
      <w:r>
        <w:t xml:space="preserve"> The counts printed in section 6.1 -- 12/19, 80 % and the</w:t>
      </w:r>
    </w:p>
    <w:p>
      <w:r>
        <w:t>rest -- are the judgements of a single coder, and independent re-coding from the recorded evidence</w:t>
      </w:r>
    </w:p>
    <w:p>
      <w:r>
        <w:t>reproduces them only at fair-to-moderate agreement. They are therefore presented as a convenience audit</w:t>
      </w:r>
    </w:p>
    <w:p>
      <w:r>
        <w:t>by one coder with the reproducibility bounded here, not as a measured rate, which is what the abstract</w:t>
      </w:r>
    </w:p>
    <w:p>
      <w:r>
        <w:t>already says. The per-coder, per-unit and per-pass values, both vocabulary readings, and the coders' own</w:t>
      </w:r>
    </w:p>
    <w:p>
      <w:r>
        <w:t>notes on the ambiguities they found are held with this revision's measurement batch.</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not on record.</w:t>
      </w:r>
      <w:r>
        <w:t xml:space="preserve"> For every row, the</w:t>
      </w:r>
    </w:p>
    <w:p>
      <w:r>
        <w:t xml:space="preserve">recomputation artifact </w:t>
      </w:r>
      <w:r>
        <w:rPr>
          <w:rFonts w:ascii="Consolas" w:hAnsi="Consolas"/>
          <w:sz w:val="19"/>
        </w:rPr>
        <w:t>split_units_recompute_20260916.txt</w:t>
      </w:r>
      <w:r>
        <w:t xml:space="preserve"> carries that row's own entry — its evidence</w:t>
      </w:r>
    </w:p>
    <w:p>
      <w:r>
        <w:t>class, its self-assessed confidence and its derivation or correction note — and</w:t>
      </w:r>
    </w:p>
    <w:p>
      <w:r>
        <w:rPr>
          <w:rFonts w:ascii="Consolas" w:hAnsi="Consolas"/>
          <w:sz w:val="19"/>
        </w:rPr>
        <w:t>work/recompute_split_units_20260916.py</w:t>
      </w:r>
      <w:r>
        <w:t xml:space="preserve"> carries the same text as that row's literal. Where a row's</w:t>
      </w:r>
    </w:p>
    <w:p>
      <w:r>
        <w:t>evidence class names a mirror configuration or a comparison script, only the name is on record. **No row</w:t>
      </w:r>
    </w:p>
    <w:p>
      <w:r>
        <w:t>records the concrete source it was coded from**: not the release package or its version, not the dataset</w:t>
      </w:r>
    </w:p>
    <w:p>
      <w:r>
        <w:t>paper, and not the document version or access date of the page, README or PDF its class names; and **no</w:t>
      </w:r>
    </w:p>
    <w:p>
      <w:r>
        <w:t xml:space="preserve">row records where in the audit its </w:t>
      </w:r>
      <w:r>
        <w:rPr>
          <w:rFonts w:ascii="Consolas" w:hAnsi="Consolas"/>
          <w:sz w:val="19"/>
        </w:rPr>
        <w:t>(A)</w:t>
      </w:r>
      <w:r>
        <w:t xml:space="preserve"> marks stand**, the one exception being row 19, whose note names</w:t>
      </w:r>
    </w:p>
    <w:p>
      <w:r>
        <w:t xml:space="preserve">two audit lines. Those fields are marked </w:t>
      </w:r>
      <w:r>
        <w:rPr>
          <w:i/>
        </w:rPr>
        <w:t>not archived</w:t>
      </w:r>
      <w:r>
        <w:t xml:space="preserve"> below rather than reconstructed. Read as a</w:t>
      </w:r>
    </w:p>
    <w:p>
      <w:r>
        <w:t>chain, one row of §S1 is walkable end to end — the English row, that row's entry in</w:t>
      </w:r>
    </w:p>
    <w:p>
      <w:r>
        <w:rPr>
          <w:rFonts w:ascii="Consolas" w:hAnsi="Consolas"/>
          <w:sz w:val="19"/>
        </w:rPr>
        <w:t>split_units_recompute_20260916.txt</w:t>
      </w:r>
      <w:r>
        <w:t>, the same row's literal in the script, and the audit's mark — but</w:t>
      </w:r>
    </w:p>
    <w:p>
      <w:r>
        <w:t>the last link is the audit's assertion, not a recorded path, and that gap is disclosed rather than</w:t>
      </w:r>
    </w:p>
    <w:p>
      <w:r>
        <w:t>papered over.</w:t>
      </w:r>
    </w:p>
    <w:p>
      <w:r>
        <w:rPr>
          <w:i/>
        </w:rPr>
        <w:t>How to read the list below.</w:t>
      </w:r>
      <w:r>
        <w:t xml:space="preserve"> Each line carries that row's evidence class and self-assessed confidence</w:t>
      </w:r>
    </w:p>
    <w:p>
      <w:r>
        <w:t xml:space="preserve">as §S1's table prints them. </w:t>
      </w:r>
      <w:r>
        <w:rPr>
          <w:i/>
        </w:rPr>
        <w:t>marks</w:t>
      </w:r>
      <w:r>
        <w:t xml:space="preserve"> gives the row's four evidence marks in the table's column order</w:t>
      </w:r>
    </w:p>
    <w:p>
      <w:r>
        <w:t xml:space="preserve">(release / protocol / yolo_dist / reported). </w:t>
      </w:r>
      <w:r>
        <w:rPr>
          <w:i/>
        </w:rPr>
        <w:t>archive</w:t>
      </w:r>
      <w:r>
        <w:t xml:space="preserve"> names that row's entry in</w:t>
      </w:r>
    </w:p>
    <w:p>
      <w:r>
        <w:rPr>
          <w:rFonts w:ascii="Consolas" w:hAnsi="Consolas"/>
          <w:sz w:val="19"/>
        </w:rPr>
        <w:t>split_units_recompute_20260916.txt</w:t>
      </w:r>
      <w:r>
        <w:t>, whose text is also that row's literal in</w:t>
      </w:r>
    </w:p>
    <w:p>
      <w:r>
        <w:rPr>
          <w:rFonts w:ascii="Consolas" w:hAnsi="Consolas"/>
          <w:sz w:val="19"/>
        </w:rPr>
        <w:t>work/recompute_split_units_20260916.py</w:t>
      </w:r>
      <w:r>
        <w:t xml:space="preserve">. A field recorded as </w:t>
      </w:r>
      <w:r>
        <w:rPr>
          <w:i/>
        </w:rPr>
        <w:t>not archived</w:t>
      </w:r>
      <w:r>
        <w:t xml:space="preserve"> is not recorded anywhere</w:t>
      </w:r>
    </w:p>
    <w:p>
      <w:r>
        <w:t>in the archive, and is not reconstructed here from what the row says.</w:t>
      </w:r>
    </w:p>
    <w:p>
      <w:r>
        <w:t>1. COCO — evidence class: Official counts + mirror yaml; confidence: high; marks: A/A/A/A; archive: row 1; concrete source (release package, dataset paper, document version, access date) and upstream audit line numbers: not archived.</w:t>
      </w:r>
    </w:p>
    <w:p>
      <w:r>
        <w:t>2. PASCAL VOC — evidence class: mirror VOC.yaml (both keys cited per row); confidence: high; marks: A/A/A/A; archive: row 2; concrete source (release package, dataset paper, document version, access date) and upstream audit line numbers: not archived.</w:t>
      </w:r>
    </w:p>
    <w:p>
      <w:r>
        <w:t>3. Objects365 — evidence class: mirror yaml + Ultralytics docs; confidence: high; marks: A/A/A/D; archive: row 3; concrete source (release package, dataset paper, document version, access date) and upstream audit line numbers: not archived.</w:t>
      </w:r>
    </w:p>
    <w:p>
      <w:r>
        <w:t>4. Open Images v7 — evidence class: Official facts page + mirror yaml; confidence: high; marks: A/A/A/D; archive: row 4; concrete source (release package, dataset paper, document version, access date) and upstream audit line numbers: not archived.</w:t>
      </w:r>
    </w:p>
    <w:p>
      <w:r>
        <w:t>5. DOTA v1.0 — evidence class: Official download page + mirror DOTAv1.yaml; confidence: high; marks: A/A/A/A; archive: row 5; concrete source (release package, dataset paper, document version, access date) and upstream audit line numbers: not archived.</w:t>
      </w:r>
    </w:p>
    <w:p>
      <w:r>
        <w:t>6. DOTA v2.0 — evidence class: Official/mirror documentation; confidence: high; marks: A/A/A/D; archive: row 6; concrete source (release package, dataset paper, document version, access date) and upstream audit line numbers: not archived.</w:t>
      </w:r>
    </w:p>
    <w:p>
      <w:r>
        <w:t>7. VisDrone-DET — evidence class: mirror + converter; confidence: high; marks: A/A/A/A; archive: row 7; concrete source (release package, dataset paper, document version, access date) and upstream audit line numbers: not archived.</w:t>
      </w:r>
    </w:p>
    <w:p>
      <w:r>
        <w:t>8. AI-TOD — evidence class: Official README (contains two mutually contradictory release statements); confidence: low; marks: A/A/A/?; archive: row 8; concrete source (release package, dataset paper, document version, access date) and upstream audit line numbers: not archived.</w:t>
      </w:r>
    </w:p>
    <w:p>
      <w:r>
        <w:t>9. UAVDT — evidence class: Official paper + two mirrors (the audit calls these unverified beyond these two); confidence: medium; marks: A/A/A/A; archive: row 9; concrete source (release package, dataset paper, document version, access date) and upstream audit line numbers: not archived.</w:t>
      </w:r>
    </w:p>
    <w:p>
      <w:r>
        <w:t>10. xView — evidence class: mirror xView.yaml; confidence: low; marks: A/A/A/A; archive: row 10; concrete source (release package, dataset paper, document version, access date) and upstream audit line numbers: not archived.</w:t>
      </w:r>
    </w:p>
    <w:p>
      <w:r>
        <w:t>11. DIOR — evidence class: Official description (no counting) + mirror DIOR-R yaml; confidence: low; marks: A/A/A/?; archive: row 11; concrete source (release package, dataset paper, document version, access date) and upstream audit line numbers: not archived.</w:t>
      </w:r>
    </w:p>
    <w:p>
      <w:r>
        <w:t>12. NWPU VHR-10 — evidence class: Official TorchGeo (the split means positive/negative); confidence: high; marks: A/A/A/A; archive: row 12; concrete source (release package, dataset paper, document version, access date) and upstream audit line numbers: not archived.</w:t>
      </w:r>
    </w:p>
    <w:p>
      <w:r>
        <w:t>13. SHWD — evidence class: Official README + mirror Reflective_vests.yaml; confidence: medium; marks: A/A/A/A; archive: row 13; concrete source (release package, dataset paper, document version, access date) and upstream audit line numbers: not archived.</w:t>
      </w:r>
    </w:p>
    <w:p>
      <w:r>
        <w:t>14. SFCHD — evidence class: Official first-party release (machine comparison _ev_sfchd_check2.py); confidence: highest; marks: A/A/A/A; archive: row 14; concrete source (release package, dataset paper, document version, access date) and upstream audit line numbers: not archived.</w:t>
      </w:r>
    </w:p>
    <w:p>
      <w:r>
        <w:t>15. MAFA — evidence class: Official CVPR PDF (extracted with pypdf); confidence: high; marks: A/A/?/A; archive: row 15; concrete source (release package, dataset paper, document version, access date) and upstream audit line numbers: not archived.</w:t>
      </w:r>
    </w:p>
    <w:p>
      <w:r>
        <w:t>16. Mendeley face-mask — evidence class: Official data record + mirror generator; confidence: lowest; marks: A/A/D/?; archive: row 16; concrete source (release package, dataset paper, document version, access date) and upstream audit line numbers: not archived.</w:t>
      </w:r>
    </w:p>
    <w:p>
      <w:r>
        <w:t>17. WIDER FACE — evidence class: Official site (GT not released, verified word by word) + mirror; confidence: high; marks: A/A/A/A; archive: row 17; concrete source (release package, dataset paper, document version, access date) and upstream audit line numbers: not archived.</w:t>
      </w:r>
    </w:p>
    <w:p>
      <w:r>
        <w:t>18. CrowdHuman — evidence class: Official paper + mirror; confidence: high; marks: A/A/A/A; archive: row 18; concrete source (release package, dataset paper, document version, access date) and upstream audit line numbers: not archived.</w:t>
      </w:r>
    </w:p>
    <w:p>
      <w:r>
        <w:t>19. D-Fire (FireSmoke) — evidence class: Official README; confidence: medium; marks: A/A/A/?; archive: row 19; concrete source (release package, dataset paper, document version, access date): not archived; upstream audit line numbers: A:52, A:59 (§S1, "Corrections already applied").</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them would require corpora we do not redistribute.</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rFonts w:ascii="Consolas" w:hAnsi="Consolas"/>
          <w:sz w:val="19"/>
        </w:rPr>
        <w:t>work/coding_manual_19x4_20260927.md</w:t>
      </w:r>
      <w:r>
        <w:t>).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w:t>
      </w:r>
      <w:r>
        <w:rPr>
          <w:rFonts w:ascii="Consolas" w:hAnsi="Consolas"/>
          <w:sz w:val="19"/>
        </w:rPr>
        <w:t>work/second_coding_20260927.csv</w:t>
      </w:r>
      <w:r>
        <w:t>), and every</w:t>
      </w:r>
    </w:p>
    <w:p>
      <w:r>
        <w:t>statistic below is recomputed mechanically by a script that reads the printed table and</w:t>
      </w:r>
    </w:p>
    <w:p>
      <w:r>
        <w:t>that file (</w:t>
      </w:r>
      <w:r>
        <w:rPr>
          <w:rFonts w:ascii="Consolas" w:hAnsi="Consolas"/>
          <w:sz w:val="19"/>
        </w:rPr>
        <w:t>work/kappa_second_coding_20260927.py</w:t>
      </w:r>
      <w:r>
        <w:t>; machine output</w:t>
      </w:r>
    </w:p>
    <w:p>
      <w:r>
        <w:rPr>
          <w:rFonts w:ascii="Consolas" w:hAnsi="Consolas"/>
          <w:sz w:val="19"/>
        </w:rPr>
        <w:t>work/kappa_computed_20260927.txt</w:t>
      </w:r>
      <w:r>
        <w:t xml:space="preserve">, readable summary </w:t>
      </w:r>
      <w:r>
        <w:rPr>
          <w:rFonts w:ascii="Consolas" w:hAnsi="Consolas"/>
          <w:sz w:val="19"/>
        </w:rPr>
        <w:t>work/kappa_summary_20260927.md</w:t>
      </w:r>
      <w:r>
        <w:t>).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