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r>
        <w:rPr>
          <w:b/>
        </w:rPr>
        <w:t>Working title (v0.1). Target venue: Pattern Recognition (Elsevier).</w:t>
      </w:r>
    </w:p>
    <w:p>
      <w:r>
        <w:t xml:space="preserve">&gt; </w:t>
      </w:r>
      <w:r>
        <w:rPr>
          <w:b/>
        </w:rPr>
        <w:t>Provenance of this file.</w:t>
      </w:r>
      <w:r>
        <w:t xml:space="preserve"> The English submission form of the P2 manuscript, a faithful</w:t>
      </w:r>
    </w:p>
    <w:p>
      <w:r>
        <w:t xml:space="preserve">&gt; translation of the Chinese governing draft </w:t>
      </w:r>
      <w:r>
        <w:rPr>
          <w:rFonts w:ascii="Consolas" w:hAnsi="Consolas"/>
        </w:rPr>
        <w:t>评测有效性稿_正文_v0.1.md</w:t>
      </w:r>
    </w:p>
    <w:p>
      <w:r>
        <w:t xml:space="preserve">&gt; (md5 </w:t>
      </w:r>
      <w:r>
        <w:rPr>
          <w:rFonts w:ascii="Consolas" w:hAnsi="Consolas"/>
        </w:rPr>
        <w:t>fe880ca0e3af77983382065db75255f3</w:t>
      </w:r>
      <w:r>
        <w:t>, the state it was translated from, 2026-09-18; that draft is a live</w:t>
      </w:r>
    </w:p>
    <w:p>
      <w:r>
        <w:t xml:space="preserve">&gt; document, re-hashed whenever it changes — see </w:t>
      </w:r>
      <w:r>
        <w:rPr>
          <w:rFonts w:ascii="Consolas" w:hAnsi="Consolas"/>
        </w:rPr>
        <w:t>work/verify_text_hashes_20260917.py</w:t>
      </w:r>
      <w:r>
        <w:t>); every number is unchanged and backed by the</w:t>
      </w:r>
    </w:p>
    <w:p>
      <w:r>
        <w:t>&gt; local artifacts listed in the Supplementary Material. Where the drafts disagree, the Chinese governs.</w:t>
      </w:r>
    </w:p>
    <w:p>
      <w:r>
        <w:t xml:space="preserve">&gt; Citation numbers refer to the References section of this manuscript, which is </w:t>
      </w:r>
      <w:r>
        <w:rPr>
          <w:b/>
        </w:rPr>
        <w:t>ordered by first appearance</w:t>
      </w:r>
    </w:p>
    <w:p>
      <w:r>
        <w:t>&gt; in the text (re-ordered once, on 2026-10-04, so that the numbering and the printed order agree). Every entry was verified against Crossref or DataCite DOI records</w:t>
      </w:r>
    </w:p>
    <w:p>
      <w:r>
        <w:t>&gt; or against the cited project's own page before it was added.</w:t>
      </w:r>
    </w:p>
    <w:p>
      <w:r>
        <w:t>&gt; The four citations unresolved in the first draft — [A] the CVPR 2026 geospatial leakage</w:t>
      </w:r>
    </w:p>
    <w:p>
      <w:r>
        <w:t xml:space="preserve">&gt; audit, [B] AI-TOD, [C] UAVDT, [D] D-Fire — are </w:t>
      </w:r>
      <w:r>
        <w:rPr>
          <w:b/>
        </w:rPr>
        <w:t>now verified</w:t>
      </w:r>
      <w:r>
        <w:t xml:space="preserve"> as </w:t>
      </w:r>
      <w:r>
        <w:rPr>
          <w:b/>
        </w:rPr>
        <w:t>[1] [2] [3] [4]</w:t>
      </w:r>
      <w:r>
        <w:t>; two of</w:t>
      </w:r>
    </w:p>
    <w:p>
      <w:r>
        <w:t>&gt; the four titles and one venue had differed in an unverified citation.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and report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so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two arms' relative difference on </w:t>
      </w:r>
      <w:r>
        <w:rPr>
          <w:rFonts w:ascii="Consolas" w:hAnsi="Consolas"/>
        </w:rPr>
        <w:t>val</w:t>
      </w:r>
      <w:r>
        <w:t xml:space="preserve"> against the same difference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cells, not on the scan.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(ten file-order replicates,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, 18/20 positive.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 (both non-positive logs sit at exactly </w:t>
      </w:r>
      <w:r>
        <w:rPr>
          <w:b/>
        </w:rPr>
        <w:t>+0.00</w:t>
      </w:r>
      <w:r>
        <w:t xml:space="preserve">),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slight-to-fair agreement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initialization and seed components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groups of 27 (Spearman ρ = −0.466, p = 1.3×10⁻⁵);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0.734</w:t>
      </w:r>
      <w:r>
        <w:t>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unit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, interval containing zero.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