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 Controlled by |</w:t>
        <w:br/>
        <w:t>|---|---|---|</w:t>
        <w:br/>
        <w:t xml:space="preserve">| </w:t>
      </w:r>
      <w:r>
        <w:rPr>
          <w:rFonts w:ascii="Consolas" w:hAnsi="Consolas"/>
          <w:b/>
        </w:rPr>
        <w:t>release</w:t>
      </w:r>
      <w:r>
        <w:rPr>
          <w:rFonts w:ascii="Consolas" w:hAnsi="Consolas"/>
        </w:rPr>
        <w:t xml:space="preserve"> | Does the benchmark's </w:t>
      </w:r>
      <w:r>
        <w:rPr>
          <w:rFonts w:ascii="Consolas" w:hAnsi="Consolas"/>
          <w:b/>
        </w:rPr>
        <w:t>own release artifact</w:t>
      </w:r>
      <w:r>
        <w:rPr>
          <w:rFonts w:ascii="Consolas" w:hAnsi="Consolas"/>
        </w:rPr>
        <w:t xml:space="preserve"> (a split script, an archive, a YAML) provide an independent held-out test split? | the releasing party |</w:t>
        <w:br/>
        <w:t xml:space="preserve">| </w:t>
      </w:r>
      <w:r>
        <w:rPr>
          <w:rFonts w:ascii="Consolas" w:hAnsi="Consolas"/>
          <w:b/>
        </w:rPr>
        <w:t>protocol</w:t>
      </w:r>
      <w:r>
        <w:rPr>
          <w:rFonts w:ascii="Consolas" w:hAnsi="Consolas"/>
        </w:rPr>
        <w:t xml:space="preserve"> | What does the </w:t>
      </w:r>
      <w:r>
        <w:rPr>
          <w:rFonts w:ascii="Consolas" w:hAnsi="Consolas"/>
          <w:b/>
        </w:rPr>
        <w:t>official protocol</w:t>
      </w:r>
      <w:r>
        <w:rPr>
          <w:rFonts w:ascii="Consolas" w:hAnsi="Consolas"/>
        </w:rPr>
        <w:t xml:space="preserve"> (README, paper, website) declare, and can that test split be evaluated </w:t>
      </w:r>
      <w:r>
        <w:rPr>
          <w:rFonts w:ascii="Consolas" w:hAnsi="Consolas"/>
          <w:b/>
        </w:rPr>
        <w:t>locally</w:t>
      </w:r>
      <w:r>
        <w:rPr>
          <w:rFonts w:ascii="Consolas" w:hAnsi="Consolas"/>
        </w:rPr>
        <w:t>? | the releasing party |</w:t>
        <w:br/>
        <w:t xml:space="preserve">| </w:t>
      </w:r>
      <w:r>
        <w:rPr>
          <w:rFonts w:ascii="Consolas" w:hAnsi="Consolas"/>
          <w:b/>
        </w:rPr>
        <w:t>yolo_dist</w:t>
      </w:r>
      <w:r>
        <w:rPr>
          <w:rFonts w:ascii="Consolas" w:hAnsi="Consolas"/>
        </w:rPr>
        <w:t xml:space="preserve"> | How do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keys in the </w:t>
      </w:r>
      <w:r>
        <w:rPr>
          <w:rFonts w:ascii="Consolas" w:hAnsi="Consolas"/>
          <w:b/>
        </w:rPr>
        <w:t>generic YOLO distribution package</w:t>
      </w:r>
      <w:r>
        <w:rPr>
          <w:rFonts w:ascii="Consolas" w:hAnsi="Consolas"/>
        </w:rPr>
        <w:t xml:space="preserve"> (e.g. an Ultralytics-style directory) read? | a third party |</w:t>
        <w:br/>
        <w:t xml:space="preserve">| </w:t>
      </w:r>
      <w:r>
        <w:rPr>
          <w:rFonts w:ascii="Consolas" w:hAnsi="Consolas"/>
          <w:b/>
        </w:rPr>
        <w:t>reported</w:t>
      </w:r>
      <w:r>
        <w:rPr>
          <w:rFonts w:ascii="Consolas" w:hAnsi="Consolas"/>
        </w:rPr>
        <w:t xml:space="preserve"> | Which split does the number </w:t>
      </w:r>
      <w:r>
        <w:rPr>
          <w:rFonts w:ascii="Consolas" w:hAnsi="Consolas"/>
          <w:b/>
        </w:rPr>
        <w:t>in the literature</w:t>
      </w:r>
      <w:r>
        <w:rPr>
          <w:rFonts w:ascii="Consolas" w:hAnsi="Consolas"/>
        </w:rPr>
        <w:t xml:space="preserve"> come from, and is that split independent of selection? | the user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empty_test_key(A)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test_dev_only(A)</w:t>
      </w:r>
      <w:r>
        <w:rPr>
          <w:rFonts w:ascii="Consolas" w:hAnsi="Consolas"/>
        </w:rPr>
        <w:t xml:space="preserve"> | </w:t>
      </w:r>
      <w:r>
        <w:rPr>
          <w:rFonts w:ascii="Consolas" w:hAnsi="Consolas"/>
          <w:sz w:val="19"/>
        </w:rPr>
        <w:t>test_dev_only(A)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xml:space="preserve">&gt; </w:t>
      </w:r>
      <w:r>
        <w:rPr>
          <w:rFonts w:ascii="Consolas" w:hAnsi="Consolas"/>
          <w:b/>
        </w:rPr>
        <w:t>The `n_a` applicability rule, stated with the table.</w:t>
      </w:r>
      <w:r>
        <w:rPr>
          <w:rFonts w:ascii="Consolas" w:hAnsi="Consolas"/>
        </w:rPr>
        <w:t xml:space="preserve"> A row counts toward a unit only when the unit is </w:t>
      </w:r>
      <w:r>
        <w:rPr>
          <w:rFonts w:ascii="Consolas" w:hAnsi="Consolas"/>
          <w:b/>
        </w:rPr>
        <w:t>applicable</w:t>
      </w:r>
      <w:r>
        <w:rPr>
          <w:rFonts w:ascii="Consolas" w:hAnsi="Consolas"/>
        </w:rPr>
        <w:t xml:space="preserve"> to that benchmark (</w:t>
      </w:r>
      <w:r>
        <w:rPr>
          <w:rFonts w:ascii="Consolas" w:hAnsi="Consolas"/>
          <w:sz w:val="19"/>
        </w:rPr>
        <w:t>n_a</w:t>
      </w:r>
      <w:r>
        <w:rPr>
          <w:rFonts w:ascii="Consolas" w:hAnsi="Consolas"/>
        </w:rPr>
        <w:t xml:space="preserve"> = the applicable denominator); where a unit does not apply, the row is </w:t>
      </w:r>
      <w:r>
        <w:rPr>
          <w:rFonts w:ascii="Consolas" w:hAnsi="Consolas"/>
          <w:b/>
        </w:rPr>
        <w:t>excluded from both the numerator and the denominator</w:t>
      </w:r>
      <w:r>
        <w:rPr>
          <w:rFonts w:ascii="Consolas" w:hAnsi="Consolas"/>
        </w:rPr>
        <w:t xml:space="preserve"> rather than counted as non-independent. This is a </w:t>
      </w:r>
      <w:r>
        <w:rPr>
          <w:rFonts w:ascii="Consolas" w:hAnsi="Consolas"/>
          <w:b/>
        </w:rPr>
        <w:t>rule, not a recomputation</w:t>
      </w:r>
      <w:r>
        <w:rPr>
          <w:rFonts w:ascii="Consolas" w:hAnsi="Consolas"/>
        </w:rPr>
        <w:t>: the printed 12 − 2 = 10 for the clean group is that rule applied, and every count in Table 3 names its own denominator.</w:t>
        <w:br/>
        <w:br/>
        <w:t xml:space="preserve">&gt; </w:t>
      </w:r>
      <w:r>
        <w:rPr>
          <w:rFonts w:ascii="Consolas" w:hAnsi="Consolas"/>
          <w:b/>
        </w:rPr>
        <w:t>Correction and re-verification (2026-10-13).</w:t>
      </w:r>
      <w:r>
        <w:rPr>
          <w:rFonts w:ascii="Consolas" w:hAnsi="Consolas"/>
        </w:rPr>
        <w:t xml:space="preserve"> Two </w:t>
      </w:r>
      <w:r>
        <w:rPr>
          <w:rFonts w:ascii="Consolas" w:hAnsi="Consolas"/>
          <w:sz w:val="19"/>
        </w:rPr>
        <w:t>yolo_dist</w:t>
      </w:r>
      <w:r>
        <w:rPr>
          <w:rFonts w:ascii="Consolas" w:hAnsi="Consolas"/>
        </w:rPr>
        <w:t xml:space="preserve"> marks were re-checked against the upstream YAMLs at </w:t>
      </w:r>
      <w:r>
        <w:rPr>
          <w:rFonts w:ascii="Consolas" w:hAnsi="Consolas"/>
          <w:sz w:val="19"/>
        </w:rPr>
        <w:t>ultralytics/ultralytics@main</w:t>
      </w:r>
      <w:r>
        <w:rPr>
          <w:rFonts w:ascii="Consolas" w:hAnsi="Consolas"/>
        </w:rPr>
        <w:t xml:space="preserve"> and </w:t>
      </w:r>
      <w:r>
        <w:rPr>
          <w:rFonts w:ascii="Consolas" w:hAnsi="Consolas"/>
          <w:b/>
        </w:rPr>
        <w:t>both were imprecise</w:t>
      </w:r>
      <w:r>
        <w:rPr>
          <w:rFonts w:ascii="Consolas" w:hAnsi="Consolas"/>
        </w:rPr>
        <w:t xml:space="preserve">: </w:t>
      </w:r>
      <w:r>
        <w:rPr>
          <w:rFonts w:ascii="Consolas" w:hAnsi="Consolas"/>
          <w:sz w:val="19"/>
        </w:rPr>
        <w:t>Objects365.yaml</w:t>
      </w:r>
      <w:r>
        <w:rPr>
          <w:rFonts w:ascii="Consolas" w:hAnsi="Consolas"/>
        </w:rPr>
        <w:t xml:space="preserve"> carries </w:t>
      </w:r>
      <w:r>
        <w:rPr>
          <w:rFonts w:ascii="Consolas" w:hAnsi="Consolas"/>
          <w:sz w:val="19"/>
        </w:rPr>
        <w:t>test: # test images (optional)</w:t>
      </w:r>
      <w:r>
        <w:rPr>
          <w:rFonts w:ascii="Consolas" w:hAnsi="Consolas"/>
        </w:rPr>
        <w:t xml:space="preserve"> — an </w:t>
      </w:r>
      <w:r>
        <w:rPr>
          <w:rFonts w:ascii="Consolas" w:hAnsi="Consolas"/>
          <w:b/>
        </w:rPr>
        <w:t>empty `test` key</w:t>
      </w:r>
      <w:r>
        <w:rPr>
          <w:rFonts w:ascii="Consolas" w:hAnsi="Consolas"/>
        </w:rPr>
        <w:t xml:space="preserve">, not a missing one (so the mark reads </w:t>
      </w:r>
      <w:r>
        <w:rPr>
          <w:rFonts w:ascii="Consolas" w:hAnsi="Consolas"/>
          <w:sz w:val="19"/>
        </w:rPr>
        <w:t>empty_test_key</w:t>
      </w:r>
      <w:r>
        <w:rPr>
          <w:rFonts w:ascii="Consolas" w:hAnsi="Consolas"/>
        </w:rPr>
        <w:t xml:space="preserve"> and not </w:t>
      </w:r>
      <w:r>
        <w:rPr>
          <w:rFonts w:ascii="Consolas" w:hAnsi="Consolas"/>
          <w:sz w:val="19"/>
        </w:rPr>
        <w:t>no_test_key</w:t>
      </w:r>
      <w:r>
        <w:rPr>
          <w:rFonts w:ascii="Consolas" w:hAnsi="Consolas"/>
        </w:rPr>
        <w:t xml:space="preserve">); and </w:t>
      </w:r>
      <w:r>
        <w:rPr>
          <w:rFonts w:ascii="Consolas" w:hAnsi="Consolas"/>
          <w:sz w:val="19"/>
        </w:rPr>
        <w:t>VisDrone.yaml</w:t>
      </w:r>
      <w:r>
        <w:rPr>
          <w:rFonts w:ascii="Consolas" w:hAnsi="Consolas"/>
        </w:rPr>
        <w:t xml:space="preserve"> carries </w:t>
      </w:r>
      <w:r>
        <w:rPr>
          <w:rFonts w:ascii="Consolas" w:hAnsi="Consolas"/>
          <w:sz w:val="19"/>
        </w:rPr>
        <w:t>test: images/test # test-dev images (optional) 1610 images</w:t>
      </w:r>
      <w:r>
        <w:rPr>
          <w:rFonts w:ascii="Consolas" w:hAnsi="Consolas"/>
        </w:rPr>
        <w:t xml:space="preserve">, i.e. the </w:t>
      </w:r>
      <w:r>
        <w:rPr>
          <w:rFonts w:ascii="Consolas" w:hAnsi="Consolas"/>
          <w:sz w:val="19"/>
        </w:rPr>
        <w:t>test</w:t>
      </w:r>
      <w:r>
        <w:rPr>
          <w:rFonts w:ascii="Consolas" w:hAnsi="Consolas"/>
        </w:rPr>
        <w:t xml:space="preserve"> split is </w:t>
      </w:r>
      <w:r>
        <w:rPr>
          <w:rFonts w:ascii="Consolas" w:hAnsi="Consolas"/>
          <w:b/>
        </w:rPr>
        <w:t>test-dev</w:t>
      </w:r>
      <w:r>
        <w:rPr>
          <w:rFonts w:ascii="Consolas" w:hAnsi="Consolas"/>
        </w:rPr>
        <w:t xml:space="preserve">, whose labels are not distributed with the DET package — so the mark reads </w:t>
      </w:r>
      <w:r>
        <w:rPr>
          <w:rFonts w:ascii="Consolas" w:hAnsi="Consolas"/>
          <w:sz w:val="19"/>
        </w:rPr>
        <w:t>test_dev_only</w:t>
      </w:r>
      <w:r>
        <w:rPr>
          <w:rFonts w:ascii="Consolas" w:hAnsi="Consolas"/>
        </w:rPr>
        <w:t xml:space="preserve"> and not </w:t>
      </w:r>
      <w:r>
        <w:rPr>
          <w:rFonts w:ascii="Consolas" w:hAnsi="Consolas"/>
          <w:sz w:val="19"/>
        </w:rPr>
        <w:t>clean</w:t>
      </w:r>
      <w:r>
        <w:rPr>
          <w:rFonts w:ascii="Consolas" w:hAnsi="Consolas"/>
        </w:rPr>
        <w:t xml:space="preserve">. Neither correction changes any count: Objects365 was already </w:t>
      </w:r>
      <w:r>
        <w:rPr>
          <w:rFonts w:ascii="Consolas" w:hAnsi="Consolas"/>
          <w:sz w:val="19"/>
        </w:rPr>
        <w:t>no_test</w:t>
      </w:r>
      <w:r>
        <w:rPr>
          <w:rFonts w:ascii="Consolas" w:hAnsi="Consolas"/>
        </w:rPr>
        <w:t xml:space="preserve"> at the release and protocol layers, and VisDrone-DET stays </w:t>
      </w:r>
      <w:r>
        <w:rPr>
          <w:rFonts w:ascii="Consolas" w:hAnsi="Consolas"/>
          <w:sz w:val="19"/>
        </w:rPr>
        <w:t>independent_test</w:t>
      </w:r>
      <w:r>
        <w:rPr>
          <w:rFonts w:ascii="Consolas" w:hAnsi="Consolas"/>
        </w:rPr>
        <w:t xml:space="preserve"> there; only the </w:t>
      </w:r>
      <w:r>
        <w:rPr>
          <w:rFonts w:ascii="Consolas" w:hAnsi="Consolas"/>
          <w:b/>
        </w:rPr>
        <w:t>distribution-package</w:t>
      </w:r>
      <w:r>
        <w:rPr>
          <w:rFonts w:ascii="Consolas" w:hAnsi="Consolas"/>
        </w:rPr>
        <w:t xml:space="preserve"> column moves.</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 </w:t>
      </w:r>
      <w:r>
        <w:rPr>
          <w:b/>
        </w:rPr>
        <w:t>the clean re-run below is a sensitivity on a later protocol change, not a replacement</w:t>
      </w:r>
      <w:r>
        <w:t xml:space="preserve"> (Table S34b):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best.pt</w:t>
      </w:r>
      <w:r>
        <w:t xml:space="preserve"> maximises </w:t>
      </w:r>
      <w:r>
        <w:rPr>
          <w:b/>
        </w:rPr>
        <w:t>fitness = 0.1·mAP50 + 0.9·mAP50-95</w:t>
      </w:r>
      <w:r>
        <w:t xml:space="preserve">, which selects the mAP50-95 argmax in </w:t>
      </w:r>
      <w:r>
        <w:rPr>
          <w:b/>
        </w:rPr>
        <w:t>90.5 %</w:t>
      </w:r>
      <w:r>
        <w:t xml:space="preserve"> of runs (§S18, §S21)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S45 — §2.1 relocated from the article (a **section**, not a table;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is now measured</w:t>
      </w:r>
      <w:r>
        <w:t xml:space="preserve"> (per-checkpoint </w:t>
      </w:r>
      <w:r>
        <w:rPr>
          <w:rFonts w:ascii="Consolas" w:hAnsi="Consolas"/>
          <w:sz w:val="19"/>
        </w:rPr>
        <w:t>test</w:t>
      </w:r>
      <w:r>
        <w:t xml:space="preserve"> sweep, §8.9): realization </w:t>
      </w:r>
      <w:r>
        <w:rPr>
          <w:b/>
        </w:rPr>
        <w:t>+7.2 %</w:t>
      </w:r>
      <w:r>
        <w:t xml:space="preserve"> on </w:t>
      </w:r>
      <w:r>
        <w:rPr>
          <w:rFonts w:ascii="Consolas" w:hAnsi="Consolas"/>
          <w:sz w:val="19"/>
        </w:rPr>
        <w:t>base100</w:t>
      </w:r>
      <w:r>
        <w:t xml:space="preserve"> and </w:t>
      </w:r>
      <w:r>
        <w:rPr>
          <w:b/>
        </w:rPr>
        <w:t>−9.7 %</w:t>
      </w:r>
      <w:r>
        <w:t xml:space="preserve"> on </w:t>
      </w:r>
      <w:r>
        <w:rPr>
          <w:rFonts w:ascii="Consolas" w:hAnsi="Consolas"/>
          <w:sz w:val="19"/>
        </w:rPr>
        <w:t>lr005_100ep</w:t>
      </w:r>
      <w:r>
        <w:t xml:space="preserve">, </w:t>
      </w:r>
      <w:r>
        <w:rPr>
          <w:b/>
        </w:rPr>
        <w:t>+1.44 %</w:t>
      </w:r>
      <w:r>
        <w:t xml:space="preserve"> pooled, with a run-level interval covering zero — so the premium is large on this corpus and </w:t>
      </w:r>
      <w:r>
        <w:rPr>
          <w:b/>
        </w:rPr>
        <w:t>only a minority of it survives</w:t>
      </w:r>
      <w:r>
        <w:t>.</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Quantity</w:t>
            </w:r>
          </w:p>
        </w:tc>
        <w:tc>
          <w:tcPr>
            <w:tcW w:type="dxa" w:w="2880"/>
          </w:tcPr>
          <w:p>
            <w:r>
              <w:rPr>
                <w:b/>
                <w:sz w:val="18"/>
              </w:rPr>
              <w:t>Result</w:t>
            </w:r>
          </w:p>
        </w:tc>
        <w:tc>
          <w:tcPr>
            <w:tcW w:type="dxa" w:w="2880"/>
          </w:tcPr>
          <w:p/>
        </w:tc>
      </w:tr>
      <w:tr>
        <w:tc>
          <w:tcPr>
            <w:tcW w:type="dxa" w:w="2880"/>
          </w:tcPr>
          <w:p>
            <w:r>
              <w:rPr>
                <w:sz w:val="18"/>
              </w:rPr>
              <w:t>---</w:t>
            </w:r>
          </w:p>
        </w:tc>
        <w:tc>
          <w:tcPr>
            <w:tcW w:type="dxa" w:w="2880"/>
          </w:tcPr>
          <w:p>
            <w:r>
              <w:rPr>
                <w:sz w:val="18"/>
              </w:rPr>
              <w:t>---</w:t>
            </w:r>
          </w:p>
        </w:tc>
        <w:tc>
          <w:tcPr>
            <w:tcW w:type="dxa" w:w="2880"/>
          </w:tcPr>
          <w:p/>
        </w:tc>
      </w:tr>
      <w:tr>
        <w:tc>
          <w:tcPr>
            <w:tcW w:type="dxa" w:w="288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2880"/>
          </w:tcPr>
          <w:p>
            <w:r>
              <w:rPr>
                <w:b/>
                <w:sz w:val="18"/>
              </w:rPr>
              <w:t>341 of 377 (90.5 %)</w:t>
            </w:r>
          </w:p>
        </w:tc>
        <w:tc>
          <w:tcPr>
            <w:tcW w:type="dxa" w:w="2880"/>
          </w:tcPr>
          <w:p/>
        </w:tc>
      </w:tr>
      <w:tr>
        <w:tc>
          <w:tcPr>
            <w:tcW w:type="dxa" w:w="2880"/>
          </w:tcPr>
          <w:p>
            <w:r>
              <w:rPr>
                <w:sz w:val="18"/>
              </w:rPr>
              <w:t xml:space="preserve">mean change in the premium when the denominator is taken at </w:t>
            </w:r>
            <w:r>
              <w:rPr>
                <w:rFonts w:ascii="Consolas" w:hAnsi="Consolas"/>
                <w:sz w:val="18"/>
              </w:rPr>
              <w:t>e*</w:t>
            </w:r>
          </w:p>
        </w:tc>
        <w:tc>
          <w:tcPr>
            <w:tcW w:type="dxa" w:w="2880"/>
          </w:tcPr>
          <w:p>
            <w:r>
              <w:rPr>
                <w:b/>
                <w:sz w:val="18"/>
              </w:rPr>
              <w:t>−0.0023 pp</w:t>
            </w:r>
          </w:p>
        </w:tc>
        <w:tc>
          <w:tcPr>
            <w:tcW w:type="dxa" w:w="2880"/>
          </w:tcPr>
          <w:p/>
        </w:tc>
      </w:tr>
      <w:tr>
        <w:tc>
          <w:tcPr>
            <w:tcW w:type="dxa" w:w="2880"/>
          </w:tcPr>
          <w:p>
            <w:r>
              <w:rPr>
                <w:sz w:val="18"/>
              </w:rPr>
              <w:t>largest change in any single run</w:t>
            </w:r>
          </w:p>
        </w:tc>
        <w:tc>
          <w:tcPr>
            <w:tcW w:type="dxa" w:w="2880"/>
          </w:tcPr>
          <w:p>
            <w:r>
              <w:rPr>
                <w:b/>
                <w:sz w:val="18"/>
              </w:rPr>
              <w:t>−0.086 pp</w:t>
            </w:r>
          </w:p>
        </w:tc>
        <w:tc>
          <w:tcPr>
            <w:tcW w:type="dxa" w:w="2880"/>
          </w:tcP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Corpus (run set)</w:t>
            </w:r>
          </w:p>
        </w:tc>
        <w:tc>
          <w:tcPr>
            <w:tcW w:type="dxa" w:w="1728"/>
          </w:tcPr>
          <w:p>
            <w:r>
              <w:rPr>
                <w:b/>
                <w:sz w:val="18"/>
              </w:rPr>
              <w:t>endpoints</w:t>
            </w:r>
          </w:p>
        </w:tc>
        <w:tc>
          <w:tcPr>
            <w:tcW w:type="dxa" w:w="1728"/>
          </w:tcPr>
          <w:p>
            <w:r>
              <w:rPr>
                <w:b/>
                <w:sz w:val="18"/>
              </w:rPr>
              <w:t>per-endpoint SE, median</w:t>
            </w:r>
          </w:p>
        </w:tc>
        <w:tc>
          <w:tcPr>
            <w:tcW w:type="dxa" w:w="1728"/>
          </w:tcPr>
          <w:p>
            <w:r>
              <w:rPr>
                <w:b/>
                <w:sz w:val="18"/>
              </w:rPr>
              <w:t>SE range</w:t>
            </w:r>
          </w:p>
        </w:tc>
        <w:tc>
          <w:tcPr>
            <w:tcW w:type="dxa" w:w="1728"/>
          </w:tcPr>
          <w:p>
            <w:r>
              <w:rPr>
                <w:b/>
                <w:sz w:val="18"/>
              </w:rPr>
              <w:t xml:space="preserve">induced SE of </w:t>
            </w:r>
            <w:r>
              <w:rPr>
                <w:rFonts w:ascii="Consolas" w:hAnsi="Consolas"/>
                <w:b/>
                <w:sz w:val="18"/>
              </w:rPr>
              <w:t>prem_test</w:t>
            </w:r>
            <w:r>
              <w:rPr>
                <w:b/>
                <w:sz w:val="18"/>
              </w:rPr>
              <w:t>, median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VisDrone</w:t>
            </w:r>
            <w:r>
              <w:rPr>
                <w:sz w:val="18"/>
              </w:rPr>
              <w:t xml:space="preserve"> (§8.8, 11 runs)</w:t>
            </w:r>
          </w:p>
        </w:tc>
        <w:tc>
          <w:tcPr>
            <w:tcW w:type="dxa" w:w="1728"/>
          </w:tcPr>
          <w:p>
            <w:r>
              <w:rPr>
                <w:sz w:val="18"/>
              </w:rPr>
              <w:t>22</w:t>
            </w:r>
          </w:p>
        </w:tc>
        <w:tc>
          <w:tcPr>
            <w:tcW w:type="dxa" w:w="1728"/>
          </w:tcPr>
          <w:p>
            <w:r>
              <w:rPr>
                <w:b/>
                <w:sz w:val="18"/>
              </w:rPr>
              <w:t>0.178 pp</w:t>
            </w:r>
          </w:p>
        </w:tc>
        <w:tc>
          <w:tcPr>
            <w:tcW w:type="dxa" w:w="1728"/>
          </w:tcPr>
          <w:p>
            <w:r>
              <w:rPr>
                <w:sz w:val="18"/>
              </w:rPr>
              <w:t>0.161 – 0.253 pp</w:t>
            </w:r>
          </w:p>
        </w:tc>
        <w:tc>
          <w:tcPr>
            <w:tcW w:type="dxa" w:w="1728"/>
          </w:tcPr>
          <w:p>
            <w:r>
              <w:rPr>
                <w:sz w:val="18"/>
              </w:rPr>
              <w:t>0.252 pp</w:t>
            </w:r>
          </w:p>
        </w:tc>
      </w:tr>
      <w:tr>
        <w:tc>
          <w:tcPr>
            <w:tcW w:type="dxa" w:w="1728"/>
          </w:tcPr>
          <w:p>
            <w:r>
              <w:rPr>
                <w:b/>
                <w:sz w:val="18"/>
              </w:rPr>
              <w:t>SFCHD</w:t>
            </w:r>
            <w:r>
              <w:rPr>
                <w:sz w:val="18"/>
              </w:rPr>
              <w:t xml:space="preserve"> (C2, 20 runs)</w:t>
            </w:r>
          </w:p>
        </w:tc>
        <w:tc>
          <w:tcPr>
            <w:tcW w:type="dxa" w:w="1728"/>
          </w:tcPr>
          <w:p>
            <w:r>
              <w:rPr>
                <w:sz w:val="18"/>
              </w:rPr>
              <w:t>40</w:t>
            </w:r>
          </w:p>
        </w:tc>
        <w:tc>
          <w:tcPr>
            <w:tcW w:type="dxa" w:w="1728"/>
          </w:tcPr>
          <w:p>
            <w:r>
              <w:rPr>
                <w:b/>
                <w:sz w:val="18"/>
              </w:rPr>
              <w:t>0.534 pp</w:t>
            </w:r>
          </w:p>
        </w:tc>
        <w:tc>
          <w:tcPr>
            <w:tcW w:type="dxa" w:w="1728"/>
          </w:tcPr>
          <w:p>
            <w:r>
              <w:rPr>
                <w:sz w:val="18"/>
              </w:rPr>
              <w:t>0.458 – 0.599 pp</w:t>
            </w:r>
          </w:p>
        </w:tc>
        <w:tc>
          <w:tcPr>
            <w:tcW w:type="dxa" w:w="1728"/>
          </w:tcPr>
          <w:p>
            <w:r>
              <w:rPr>
                <w:b/>
                <w:sz w:val="18"/>
              </w:rPr>
              <w:t>0.741 pp</w:t>
            </w:r>
          </w:p>
        </w:tc>
      </w:tr>
    </w:tbl>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p/>
    <w:p>
      <w:pPr>
        <w:pStyle w:val="Heading1"/>
      </w:pPr>
      <w:r>
        <w:t>S27 · The instrument’s own reliability, stated numerically</w:t>
      </w:r>
    </w:p>
    <w:p>
      <w:r>
        <w:rPr>
          <w:b/>
        </w:rPr>
        <w:t>The numbers.</w:t>
      </w:r>
      <w:r>
        <w:t xml:space="preserve"> The nineteen rows were coded by one rater (28 literal judgements, §10 defect 5). An independent </w:t>
      </w:r>
      <w:r>
        <w:rPr>
          <w:b/>
        </w:rPr>
        <w:t>five-coder blind panel</w:t>
      </w:r>
      <w:r>
        <w:t xml:space="preserve"> agrees with itself at </w:t>
      </w:r>
      <w:r>
        <w:rPr>
          <w:b/>
        </w:rPr>
        <w:t>Fleiss’ κ 0.836</w:t>
      </w:r>
      <w:r>
        <w:t xml:space="preserve"> (38 of 51 unblocked cells identical) and a non-blind model-assisted pass agrees at </w:t>
      </w:r>
      <w:r>
        <w:rPr>
          <w:b/>
        </w:rPr>
        <w:t>κ 0.874</w:t>
      </w:r>
      <w:r>
        <w:t xml:space="preserve">, </w:t>
      </w:r>
      <w:r>
        <w:rPr>
          <w:b/>
        </w:rPr>
        <w:t>but the blind panel reproduces only 31.4 % of the printed marks</w:t>
      </w:r>
      <w:r>
        <w:t xml:space="preserve"> (42.2 % on the finer scale), </w:t>
      </w:r>
      <w:r>
        <w:rPr>
          <w:b/>
        </w:rPr>
        <w:t>26 of 76</w:t>
      </w:r>
      <w:r>
        <w:t xml:space="preserve"> cells stay undecidable, and the first-party re-verification moved </w:t>
      </w:r>
      <w:r>
        <w:rPr>
          <w:b/>
        </w:rPr>
        <w:t>30 of 76</w:t>
      </w:r>
      <w:r>
        <w:t xml:space="preserve"> cells.</w:t>
      </w:r>
    </w:p>
    <w:p>
      <w:r>
        <w:rPr>
          <w:b/>
        </w:rPr>
        <w:t>What that does to the count.</w:t>
      </w:r>
      <w:r>
        <w:t xml:space="preserve"> On the decidable rows the reported-layer count is </w:t>
      </w:r>
      <w:r>
        <w:rPr>
          <w:b/>
        </w:rPr>
        <w:t>10–11 of 16–17 (≈ 63–65 %)</w:t>
      </w:r>
      <w:r>
        <w:t xml:space="preserve">. An instrument that moves about </w:t>
      </w:r>
      <w:r>
        <w:rPr>
          <w:b/>
        </w:rPr>
        <w:t>30 of 76 (≈ 39 %)</w:t>
      </w:r>
      <w:r>
        <w:t xml:space="preserve"> of cells implies a </w:t>
      </w:r>
      <w:r>
        <w:rPr>
          <w:b/>
        </w:rPr>
        <w:t>band of roughly ±3–4 cells</w:t>
      </w:r>
      <w:r>
        <w:t xml:space="preserve"> on a nineteen-row count. The </w:t>
      </w:r>
      <w:r>
        <w:rPr>
          <w:b/>
        </w:rPr>
        <w:t>direction</w:t>
      </w:r>
      <w:r>
        <w:t xml:space="preserve"> of the majority reading survives that band; </w:t>
      </w:r>
      <w:r>
        <w:rPr>
          <w:b/>
        </w:rPr>
        <w:t>its size does not</w:t>
      </w:r>
      <w:r>
        <w:t xml:space="preserve">, and no cell-level claim in this paper rests on a single coded mark. Two counting units </w:t>
      </w:r>
      <w:r>
        <w:rPr>
          <w:b/>
        </w:rPr>
        <w:t>did</w:t>
      </w:r>
      <w:r>
        <w:t xml:space="preserve"> change direction under re-verification, and that is reported in §2 rather than smoothed over.</w:t>
      </w:r>
    </w:p>
    <w:p>
      <w:r>
        <w:rPr>
          <w:b/>
        </w:rPr>
        <w:t>Why the count is still reported.</w:t>
      </w:r>
      <w:r>
        <w:t xml:space="preserve"> The count is the </w:t>
      </w:r>
      <w:r>
        <w:rPr>
          <w:i/>
        </w:rPr>
        <w:t>object</w:t>
      </w:r>
      <w:r>
        <w:t xml:space="preserve"> of the study — what a reader of the literature would take away — and the paper’s claim is about the </w:t>
      </w:r>
      <w:r>
        <w:rPr>
          <w:b/>
        </w:rPr>
        <w:t>unit dependence</w:t>
      </w:r>
      <w:r>
        <w:t xml:space="preserve">, which is measured with the same instrument in both directions and therefore does not require the instrument to be exact. What the instrument cannot support is a </w:t>
      </w:r>
      <w:r>
        <w:rPr>
          <w:b/>
        </w:rPr>
        <w:t>magnitude</w:t>
      </w:r>
      <w:r>
        <w:t xml:space="preserve"> reading of the count, and none is made.</w:t>
      </w:r>
    </w:p>
    <w:p/>
    <w:p>
      <w:pPr>
        <w:pStyle w:val="Heading1"/>
      </w:pPr>
      <w:r>
        <w:t>S28 · The clean-test sentence, moved from §3.2 (content kept)</w:t>
      </w:r>
    </w:p>
    <w:p>
      <w:r>
        <w:rPr>
          <w:b/>
        </w:rPr>
        <w:t>We then ran the clean test</w:t>
      </w:r>
      <w:r>
        <w:t xml:space="preserve"> of G3's epoch-budget series on </w:t>
      </w:r>
      <w:r>
        <w:rPr>
          <w:b/>
        </w:rPr>
        <w:t>one machine with early stopping disabled</w:t>
      </w:r>
      <w:r>
        <w:t xml:space="preserve">, all four budgets present: C1 is </w:t>
      </w:r>
      <w:r>
        <w:rPr>
          <w:b/>
        </w:rPr>
        <w:t>met</w:t>
      </w:r>
      <w:r>
        <w:t xml:space="preserve">, C2 falls </w:t>
      </w:r>
      <w:r>
        <w:rPr>
          <w:b/>
        </w:rPr>
        <w:t>outside</w:t>
      </w:r>
      <w:r>
        <w:t xml:space="preserve"> its band — </w:t>
      </w:r>
      <w:r>
        <w:rPr>
          <w:b/>
        </w:rPr>
        <w:t xml:space="preserve">this clean re-run is a </w:t>
      </w:r>
      <w:r>
        <w:t>sensitivity on a later protocol change</w:t>
      </w:r>
      <w:r>
        <w:rPr>
          <w:b/>
        </w:rPr>
        <w:t xml:space="preserve"> (early stopping disabled): </w:t>
      </w:r>
      <w:r>
        <w:t>the primary reading stays the pre-declared series, on which C1 is not met</w:t>
      </w:r>
      <w:r>
        <w:rPr>
          <w:b/>
        </w:rPr>
        <w:t xml:space="preserve"> (peaking at E = 200); </w:t>
      </w:r>
      <w:r>
        <w:t>disabling early stopping makes the same series monotone (arm-equal +0.44 / +0.68 / +0.97 / +1.27; slope on ln E +0.40, t = 7.95, p = 1.3×10⁻⁹)</w:t>
      </w:r>
      <w:r>
        <w:rPr>
          <w:b/>
        </w:rPr>
        <w:t xml:space="preserve"> — C1’s failure is </w:t>
      </w:r>
      <w:r>
        <w:t>early-stopping-dependent</w:t>
      </w:r>
      <w:r>
        <w:rPr>
          <w:b/>
        </w:rPr>
        <w:t xml:space="preserve">, reported as such rather than by choosing the series that passes.1 and </w:t>
      </w:r>
      <w:r>
        <w:t>Table S34b</w:t>
      </w:r>
      <w:r>
        <w:rPr>
          <w:b/>
        </w:rPr>
        <w:t xml:space="preserve">; </w:t>
      </w:r>
      <w:r>
        <w:t>the pre-declared verdict stays with the with-early-stopping series</w:t>
      </w:r>
      <w:r>
        <w:rPr>
          <w:b/>
        </w:rPr>
        <w:t xml:space="preserve">. The judged criteria carry one message, </w:t>
      </w:r>
      <w:r>
        <w:t>at the level of sign, not of functional form</w:t>
      </w:r>
      <w:r>
        <w:rPr>
          <w:b/>
        </w:rPr>
        <w:t xml:space="preserve">: the selection bias moves with the amount of selection noise and with the number of selection opportunities, but not with whether the two splits are the same file — </w:t>
      </w:r>
      <w:r>
        <w:t>the form itself was withdrawn</w:t>
      </w:r>
      <w:r>
        <w:rPr>
          <w:b/>
        </w:rPr>
        <w:t xml:space="preserve"> (§3.1). Two consequences do not follow: §4's configuration-level fact stands, while the stronger reading — that aliasing *adds* a measurable amount on top — does not. </w:t>
      </w:r>
      <w:r>
        <w:t>The premium this paper measures is the premium of selecting on the reported split; aliasing is the configuration that guarantees it, not an additional term.**</w:t>
      </w:r>
    </w:p>
    <w:p/>
    <w:p>
      <w:pPr>
        <w:pStyle w:val="Heading1"/>
      </w:pPr>
      <w:r>
        <w:t>S29 · Two concrete recommendations, moved from §11</w:t>
      </w:r>
    </w:p>
    <w:p>
      <w:r>
        <w:t>③ State the test convention: below n = 6 a</w:t>
      </w:r>
    </w:p>
    <w:p>
      <w:r>
        <w:t xml:space="preserve">permutation test has no resolution; print the </w:t>
      </w:r>
      <w:r>
        <w:rPr>
          <w:rFonts w:ascii="Consolas" w:hAnsi="Consolas"/>
          <w:sz w:val="19"/>
        </w:rPr>
        <w:t>2/2ⁿ</w:t>
      </w:r>
      <w:r>
        <w:t xml:space="preserve"> floor beside every p. ④ Declare the counting unit</w:t>
      </w:r>
    </w:p>
    <w:p>
      <w:r>
        <w:t>behind every count, as Table 3's header does.</w:t>
      </w:r>
    </w:p>
    <w:p/>
    <w:p>
      <w:pPr>
        <w:pStyle w:val="Heading1"/>
      </w:pPr>
      <w:r>
        <w:t>S30 · §8.8’s interval with measurement noise propagated (requested in review)</w:t>
      </w:r>
    </w:p>
    <w:p>
      <w:r>
        <w:rPr>
          <w:b/>
        </w:rPr>
        <w:t>What was asked.</w:t>
      </w:r>
      <w:r>
        <w:t xml:space="preserve"> Propagate the image-level endpoint SE (measured for this corpus in §S24: median </w:t>
      </w:r>
      <w:r>
        <w:rPr>
          <w:b/>
        </w:rPr>
        <w:t>0.178 pp</w:t>
      </w:r>
      <w:r>
        <w:t xml:space="preserve"> per endpoint) into §8.8’s realization interval, with the numerator’s induced SE taken as </w:t>
      </w:r>
      <w:r>
        <w:rPr>
          <w:b/>
        </w:rPr>
        <w:t>√2 × SE</w:t>
      </w:r>
      <w:r>
        <w:t xml:space="preserve"> = </w:t>
      </w:r>
      <w:r>
        <w:rPr>
          <w:b/>
        </w:rPr>
        <w:t>0.252 pp</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Interval</w:t>
            </w:r>
          </w:p>
        </w:tc>
        <w:tc>
          <w:tcPr>
            <w:tcW w:type="dxa" w:w="2880"/>
          </w:tcPr>
          <w:p>
            <w:r>
              <w:rPr>
                <w:b/>
                <w:sz w:val="18"/>
              </w:rPr>
              <w:t>95 % CI</w:t>
            </w:r>
          </w:p>
        </w:tc>
        <w:tc>
          <w:tcPr>
            <w:tcW w:type="dxa" w:w="2880"/>
          </w:tcPr>
          <w:p>
            <w:r>
              <w:rPr>
                <w:b/>
                <w:sz w:val="18"/>
              </w:rPr>
              <w:t>lower bound above the band’s edge (+74 %)?</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run-to-run bootstrap only</w:t>
            </w:r>
          </w:p>
        </w:tc>
        <w:tc>
          <w:tcPr>
            <w:tcW w:type="dxa" w:w="2880"/>
          </w:tcPr>
          <w:p>
            <w:r>
              <w:rPr>
                <w:b/>
                <w:sz w:val="18"/>
              </w:rPr>
              <w:t>[+76.9 %, +135.5 %]</w:t>
            </w:r>
          </w:p>
        </w:tc>
        <w:tc>
          <w:tcPr>
            <w:tcW w:type="dxa" w:w="2880"/>
          </w:tcPr>
          <w:p>
            <w:r>
              <w:rPr>
                <w:sz w:val="18"/>
              </w:rPr>
              <w:t>yes, by 2.9 pp</w:t>
            </w:r>
          </w:p>
        </w:tc>
      </w:tr>
      <w:tr>
        <w:tc>
          <w:tcPr>
            <w:tcW w:type="dxa" w:w="2880"/>
          </w:tcPr>
          <w:p>
            <w:r>
              <w:rPr>
                <w:b/>
                <w:sz w:val="18"/>
              </w:rPr>
              <w:t>+ endpoint noise (20,000 draws, seed 20261013)</w:t>
            </w:r>
          </w:p>
        </w:tc>
        <w:tc>
          <w:tcPr>
            <w:tcW w:type="dxa" w:w="2880"/>
          </w:tcPr>
          <w:p>
            <w:r>
              <w:rPr>
                <w:b/>
                <w:sz w:val="18"/>
              </w:rPr>
              <w:t>[+31.6 %, +225.0 %]</w:t>
            </w:r>
          </w:p>
        </w:tc>
        <w:tc>
          <w:tcPr>
            <w:tcW w:type="dxa" w:w="2880"/>
          </w:tcPr>
          <w:p>
            <w:r>
              <w:rPr>
                <w:b/>
                <w:sz w:val="18"/>
              </w:rPr>
              <w:t>no</w:t>
            </w:r>
          </w:p>
        </w:tc>
      </w:tr>
    </w:tbl>
    <w:p/>
    <w:p>
      <w:r>
        <w:rPr>
          <w:b/>
        </w:rPr>
        <w:t>Reading.</w:t>
      </w:r>
      <w:r>
        <w:t xml:space="preserve"> The premium is realized in full at this budget, but </w:t>
      </w:r>
      <w:r>
        <w:rPr>
          <w:b/>
        </w:rPr>
        <w:t>the out-of-band claim is not robust to the measurement noise of a single endpoint</w:t>
      </w:r>
      <w:r>
        <w:t xml:space="preserve"> — the interval then overlaps the pre-registered band, which is also where §8.9’s second full-budget corpus lands (+1.44 %, in-band). We therefore report the point estimate and both intervals and </w:t>
      </w:r>
      <w:r>
        <w:rPr>
          <w:b/>
        </w:rPr>
        <w:t>do not claim an out-of-band result</w:t>
      </w:r>
      <w:r>
        <w:t xml:space="preserve">. Per-run inputs: </w:t>
      </w:r>
      <w:r>
        <w:rPr>
          <w:rFonts w:ascii="Consolas" w:hAnsi="Consolas"/>
          <w:sz w:val="19"/>
        </w:rPr>
        <w:t>P2_e1full_per_run.csv</w:t>
      </w:r>
      <w:r>
        <w:t xml:space="preserve">; endpoint SEs: </w:t>
      </w:r>
      <w:r>
        <w:rPr>
          <w:rFonts w:ascii="Consolas" w:hAnsi="Consolas"/>
          <w:sz w:val="19"/>
        </w:rPr>
        <w:t>P2_e4_se_visdrone.csv</w:t>
      </w:r>
      <w:r>
        <w:t>.</w:t>
      </w:r>
    </w:p>
    <w:p/>
    <w:p>
      <w:pPr>
        <w:pStyle w:val="Heading1"/>
      </w:pPr>
      <w:r>
        <w:t>S31 · The four sub-totals under the blind panel’s majority vote (requested in review)</w:t>
      </w:r>
    </w:p>
    <w:p>
      <w:r>
        <w:rPr>
          <w:b/>
        </w:rPr>
        <w:t>What was asked (GLM-5.3, C1).</w:t>
      </w:r>
      <w:r>
        <w:t xml:space="preserve"> Apply the </w:t>
      </w:r>
      <w:r>
        <w:rPr>
          <w:b/>
        </w:rPr>
        <w:t>existing per-column counting rule</w:t>
      </w:r>
      <w:r>
        <w:t xml:space="preserve"> of </w:t>
      </w:r>
      <w:r>
        <w:rPr>
          <w:rFonts w:ascii="Consolas" w:hAnsi="Consolas"/>
          <w:sz w:val="19"/>
        </w:rPr>
        <w:t>recompute_subtotals_corrected_20261010.py</w:t>
      </w:r>
      <w:r>
        <w:t xml:space="preserve"> to the </w:t>
      </w:r>
      <w:r>
        <w:rPr>
          <w:b/>
        </w:rPr>
        <w:t>Round-9 five-coder blind panel</w:t>
      </w:r>
      <w:r>
        <w:t xml:space="preserve">, and print the </w:t>
      </w:r>
      <w:r>
        <w:rPr>
          <w:rFonts w:ascii="Consolas" w:hAnsi="Consolas"/>
          <w:sz w:val="19"/>
        </w:rPr>
        <w:t>release</w:t>
      </w:r>
      <w:r>
        <w:t xml:space="preserve"> / </w:t>
      </w:r>
      <w:r>
        <w:rPr>
          <w:rFonts w:ascii="Consolas" w:hAnsi="Consolas"/>
          <w:sz w:val="19"/>
        </w:rPr>
        <w:t>protocol</w:t>
      </w:r>
      <w:r>
        <w:t xml:space="preserve"> / </w:t>
      </w:r>
      <w:r>
        <w:rPr>
          <w:rFonts w:ascii="Consolas" w:hAnsi="Consolas"/>
          <w:sz w:val="19"/>
        </w:rPr>
        <w:t>yolo_dist</w:t>
      </w:r>
      <w:r>
        <w:t xml:space="preserve"> / </w:t>
      </w:r>
      <w:r>
        <w:rPr>
          <w:rFonts w:ascii="Consolas" w:hAnsi="Consolas"/>
          <w:sz w:val="19"/>
        </w:rPr>
        <w:t>reported</w:t>
      </w:r>
      <w:r>
        <w:t xml:space="preserve"> sub-totals.</w:t>
      </w:r>
    </w:p>
    <w:p>
      <w:r>
        <w:rPr>
          <w:b/>
        </w:rPr>
        <w:t>Method, and the one thing that is ours rather than the authors’.</w:t>
      </w:r>
      <w:r>
        <w:t xml:space="preserve"> The rule is taken verbatim. The panel’s matrices use a </w:t>
      </w:r>
      <w:r>
        <w:rPr>
          <w:b/>
        </w:rPr>
        <w:t>different value vocabulary</w:t>
      </w:r>
      <w:r>
        <w:t xml:space="preserve"> (</w:t>
      </w:r>
      <w:r>
        <w:rPr>
          <w:rFonts w:ascii="Consolas" w:hAnsi="Consolas"/>
          <w:sz w:val="19"/>
        </w:rPr>
        <w:t>independent</w:t>
      </w:r>
      <w:r>
        <w:t xml:space="preserve">, </w:t>
      </w:r>
      <w:r>
        <w:rPr>
          <w:rFonts w:ascii="Consolas" w:hAnsi="Consolas"/>
          <w:sz w:val="19"/>
        </w:rPr>
        <w:t>gated</w:t>
      </w:r>
      <w:r>
        <w:t xml:space="preserve">, </w:t>
      </w:r>
      <w:r>
        <w:rPr>
          <w:rFonts w:ascii="Consolas" w:hAnsi="Consolas"/>
          <w:sz w:val="19"/>
        </w:rPr>
        <w:t>alias</w:t>
      </w:r>
      <w:r>
        <w:t xml:space="preserve">, </w:t>
      </w:r>
      <w:r>
        <w:rPr>
          <w:rFonts w:ascii="Consolas" w:hAnsi="Consolas"/>
          <w:sz w:val="19"/>
        </w:rPr>
        <w:t>absent</w:t>
      </w:r>
      <w:r>
        <w:t xml:space="preserve">, </w:t>
      </w:r>
      <w:r>
        <w:rPr>
          <w:rFonts w:ascii="Consolas" w:hAnsi="Consolas"/>
          <w:sz w:val="19"/>
        </w:rPr>
        <w:t>unknown</w:t>
      </w:r>
      <w:r>
        <w:t xml:space="preserve">, </w:t>
      </w:r>
      <w:r>
        <w:rPr>
          <w:rFonts w:ascii="Consolas" w:hAnsi="Consolas"/>
          <w:sz w:val="19"/>
        </w:rPr>
        <w:t>not_recorded</w:t>
      </w:r>
      <w:r>
        <w:t>) from the printed table (</w:t>
      </w:r>
      <w:r>
        <w:rPr>
          <w:rFonts w:ascii="Consolas" w:hAnsi="Consolas"/>
          <w:sz w:val="19"/>
        </w:rPr>
        <w:t>independent_test</w:t>
      </w:r>
      <w:r>
        <w:t xml:space="preserve">, </w:t>
      </w:r>
      <w:r>
        <w:rPr>
          <w:rFonts w:ascii="Consolas" w:hAnsi="Consolas"/>
          <w:sz w:val="19"/>
        </w:rPr>
        <w:t>test_gated</w:t>
      </w:r>
      <w:r>
        <w:t xml:space="preserve">, </w:t>
      </w:r>
      <w:r>
        <w:rPr>
          <w:rFonts w:ascii="Consolas" w:hAnsi="Consolas"/>
          <w:sz w:val="19"/>
        </w:rPr>
        <w:t>no_test_key</w:t>
      </w:r>
      <w:r>
        <w:t xml:space="preserve">, …), so a crosswalk is required; </w:t>
      </w:r>
      <w:r>
        <w:rPr>
          <w:b/>
        </w:rPr>
        <w:t>no author-side crosswalk is in the package</w:t>
      </w:r>
      <w:r>
        <w:t xml:space="preserve">, so the crosswalk below is </w:t>
      </w:r>
      <w:r>
        <w:rPr>
          <w:b/>
        </w:rPr>
        <w:t>ours</w:t>
      </w:r>
      <w:r>
        <w:t xml:space="preserve">, and cells the rule does not define for a column are counted as </w:t>
      </w:r>
      <w:r>
        <w:rPr>
          <w:b/>
        </w:rPr>
        <w:t>U (undecidable)</w:t>
      </w:r>
      <w:r>
        <w:t xml:space="preserve"> rather than being forced: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panel value</w:t>
            </w:r>
          </w:p>
        </w:tc>
        <w:tc>
          <w:tcPr>
            <w:tcW w:type="dxa" w:w="1728"/>
          </w:tcPr>
          <w:p>
            <w:r>
              <w:rPr>
                <w:b/>
                <w:sz w:val="18"/>
              </w:rPr>
              <w:t>release</w:t>
            </w:r>
          </w:p>
        </w:tc>
        <w:tc>
          <w:tcPr>
            <w:tcW w:type="dxa" w:w="1728"/>
          </w:tcPr>
          <w:p>
            <w:r>
              <w:rPr>
                <w:b/>
                <w:sz w:val="18"/>
              </w:rPr>
              <w:t>protocol</w:t>
            </w:r>
          </w:p>
        </w:tc>
        <w:tc>
          <w:tcPr>
            <w:tcW w:type="dxa" w:w="1728"/>
          </w:tcPr>
          <w:p>
            <w:r>
              <w:rPr>
                <w:b/>
                <w:sz w:val="18"/>
              </w:rPr>
              <w:t>yolo_dist</w:t>
            </w:r>
          </w:p>
        </w:tc>
        <w:tc>
          <w:tcPr>
            <w:tcW w:type="dxa" w:w="1728"/>
          </w:tcPr>
          <w:p>
            <w:r>
              <w:rPr>
                <w:b/>
                <w:sz w:val="18"/>
              </w:rPr>
              <w:t>reported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independent</w:t>
            </w:r>
          </w:p>
        </w:tc>
        <w:tc>
          <w:tcPr>
            <w:tcW w:type="dxa" w:w="1728"/>
          </w:tcPr>
          <w:p>
            <w:r>
              <w:rPr>
                <w:sz w:val="18"/>
              </w:rPr>
              <w:t>I</w:t>
            </w:r>
          </w:p>
        </w:tc>
        <w:tc>
          <w:tcPr>
            <w:tcW w:type="dxa" w:w="1728"/>
          </w:tcPr>
          <w:p>
            <w:r>
              <w:rPr>
                <w:sz w:val="18"/>
              </w:rPr>
              <w:t>I</w:t>
            </w:r>
          </w:p>
        </w:tc>
        <w:tc>
          <w:tcPr>
            <w:tcW w:type="dxa" w:w="1728"/>
          </w:tcPr>
          <w:p>
            <w:r>
              <w:rPr>
                <w:sz w:val="18"/>
              </w:rPr>
              <w:t>I</w:t>
            </w:r>
          </w:p>
        </w:tc>
        <w:tc>
          <w:tcPr>
            <w:tcW w:type="dxa" w:w="1728"/>
          </w:tcPr>
          <w:p>
            <w:r>
              <w:rPr>
                <w:sz w:val="18"/>
              </w:rPr>
              <w:t>I</w:t>
            </w:r>
          </w:p>
        </w:tc>
      </w:tr>
      <w:tr>
        <w:tc>
          <w:tcPr>
            <w:tcW w:type="dxa" w:w="1728"/>
          </w:tcPr>
          <w:p>
            <w:r>
              <w:rPr>
                <w:rFonts w:ascii="Consolas" w:hAnsi="Consolas"/>
                <w:sz w:val="18"/>
              </w:rPr>
              <w:t>gated</w:t>
            </w:r>
          </w:p>
        </w:tc>
        <w:tc>
          <w:tcPr>
            <w:tcW w:type="dxa" w:w="1728"/>
          </w:tcPr>
          <w:p>
            <w:r>
              <w:rPr>
                <w:sz w:val="18"/>
              </w:rPr>
              <w:t>N</w:t>
            </w:r>
          </w:p>
        </w:tc>
        <w:tc>
          <w:tcPr>
            <w:tcW w:type="dxa" w:w="1728"/>
          </w:tcPr>
          <w:p>
            <w:r>
              <w:rPr>
                <w:sz w:val="18"/>
              </w:rPr>
              <w:t>N</w:t>
            </w:r>
          </w:p>
        </w:tc>
        <w:tc>
          <w:tcPr>
            <w:tcW w:type="dxa" w:w="1728"/>
          </w:tcPr>
          <w:p>
            <w:r>
              <w:rPr>
                <w:sz w:val="18"/>
              </w:rPr>
              <w:t>— (U)</w:t>
            </w:r>
          </w:p>
        </w:tc>
        <w:tc>
          <w:tcPr>
            <w:tcW w:type="dxa" w:w="1728"/>
          </w:tcPr>
          <w:p>
            <w:r>
              <w:rPr>
                <w:sz w:val="18"/>
              </w:rPr>
              <w:t>— (U)</w:t>
            </w:r>
          </w:p>
        </w:tc>
      </w:tr>
      <w:tr>
        <w:tc>
          <w:tcPr>
            <w:tcW w:type="dxa" w:w="1728"/>
          </w:tcPr>
          <w:p>
            <w:r>
              <w:rPr>
                <w:rFonts w:ascii="Consolas" w:hAnsi="Consolas"/>
                <w:sz w:val="18"/>
              </w:rPr>
              <w:t>alias</w:t>
            </w:r>
          </w:p>
        </w:tc>
        <w:tc>
          <w:tcPr>
            <w:tcW w:type="dxa" w:w="1728"/>
          </w:tcPr>
          <w:p>
            <w:r>
              <w:rPr>
                <w:sz w:val="18"/>
              </w:rPr>
              <w:t>N</w:t>
            </w:r>
          </w:p>
        </w:tc>
        <w:tc>
          <w:tcPr>
            <w:tcW w:type="dxa" w:w="1728"/>
          </w:tcPr>
          <w:p>
            <w:r>
              <w:rPr>
                <w:sz w:val="18"/>
              </w:rPr>
              <w:t>N</w:t>
            </w:r>
          </w:p>
        </w:tc>
        <w:tc>
          <w:tcPr>
            <w:tcW w:type="dxa" w:w="1728"/>
          </w:tcPr>
          <w:p>
            <w:r>
              <w:rPr>
                <w:sz w:val="18"/>
              </w:rPr>
              <w:t>N</w:t>
            </w:r>
          </w:p>
        </w:tc>
        <w:tc>
          <w:tcPr>
            <w:tcW w:type="dxa" w:w="1728"/>
          </w:tcPr>
          <w:p>
            <w:r>
              <w:rPr>
                <w:sz w:val="18"/>
              </w:rPr>
              <w:t>N</w:t>
            </w:r>
          </w:p>
        </w:tc>
      </w:tr>
      <w:tr>
        <w:tc>
          <w:tcPr>
            <w:tcW w:type="dxa" w:w="1728"/>
          </w:tcPr>
          <w:p>
            <w:r>
              <w:rPr>
                <w:rFonts w:ascii="Consolas" w:hAnsi="Consolas"/>
                <w:sz w:val="18"/>
              </w:rPr>
              <w:t>absent</w:t>
            </w:r>
          </w:p>
        </w:tc>
        <w:tc>
          <w:tcPr>
            <w:tcW w:type="dxa" w:w="1728"/>
          </w:tcPr>
          <w:p>
            <w:r>
              <w:rPr>
                <w:sz w:val="18"/>
              </w:rPr>
              <w:t>N</w:t>
            </w:r>
          </w:p>
        </w:tc>
        <w:tc>
          <w:tcPr>
            <w:tcW w:type="dxa" w:w="1728"/>
          </w:tcPr>
          <w:p>
            <w:r>
              <w:rPr>
                <w:sz w:val="18"/>
              </w:rPr>
              <w:t>N</w:t>
            </w:r>
          </w:p>
        </w:tc>
        <w:tc>
          <w:tcPr>
            <w:tcW w:type="dxa" w:w="1728"/>
          </w:tcPr>
          <w:p>
            <w:r>
              <w:rPr>
                <w:sz w:val="18"/>
              </w:rPr>
              <w:t>I</w:t>
            </w:r>
          </w:p>
        </w:tc>
        <w:tc>
          <w:tcPr>
            <w:tcW w:type="dxa" w:w="1728"/>
          </w:tcPr>
          <w:p>
            <w:r>
              <w:rPr>
                <w:sz w:val="18"/>
              </w:rPr>
              <w:t>— (U)</w:t>
            </w:r>
          </w:p>
        </w:tc>
      </w:tr>
      <w:tr>
        <w:tc>
          <w:tcPr>
            <w:tcW w:type="dxa" w:w="1728"/>
          </w:tcPr>
          <w:p>
            <w:r>
              <w:rPr>
                <w:rFonts w:ascii="Consolas" w:hAnsi="Consolas"/>
                <w:sz w:val="18"/>
              </w:rPr>
              <w:t>unknown</w:t>
            </w:r>
            <w:r>
              <w:rPr>
                <w:sz w:val="18"/>
              </w:rPr>
              <w:t xml:space="preserve"> / </w:t>
            </w:r>
            <w:r>
              <w:rPr>
                <w:rFonts w:ascii="Consolas" w:hAnsi="Consolas"/>
                <w:sz w:val="18"/>
              </w:rPr>
              <w:t>not_recorded</w:t>
            </w:r>
          </w:p>
        </w:tc>
        <w:tc>
          <w:tcPr>
            <w:tcW w:type="dxa" w:w="1728"/>
          </w:tcPr>
          <w:p>
            <w:r>
              <w:rPr>
                <w:sz w:val="18"/>
              </w:rPr>
              <w:t>U</w:t>
            </w:r>
          </w:p>
        </w:tc>
        <w:tc>
          <w:tcPr>
            <w:tcW w:type="dxa" w:w="1728"/>
          </w:tcPr>
          <w:p>
            <w:r>
              <w:rPr>
                <w:sz w:val="18"/>
              </w:rPr>
              <w:t>U</w:t>
            </w:r>
          </w:p>
        </w:tc>
        <w:tc>
          <w:tcPr>
            <w:tcW w:type="dxa" w:w="1728"/>
          </w:tcPr>
          <w:p>
            <w:r>
              <w:rPr>
                <w:sz w:val="18"/>
              </w:rPr>
              <w:t>U</w:t>
            </w:r>
          </w:p>
        </w:tc>
        <w:tc>
          <w:tcPr>
            <w:tcW w:type="dxa" w:w="1728"/>
          </w:tcPr>
          <w:p>
            <w:r>
              <w:rPr>
                <w:sz w:val="18"/>
              </w:rPr>
              <w:t>U</w:t>
            </w:r>
          </w:p>
        </w:tc>
      </w:tr>
    </w:tbl>
    <w:p/>
    <w:p>
      <w:r>
        <w:rPr>
          <w:b/>
        </w:rPr>
        <w:t>Result (majority vote per benchmark × unit, 19 rows).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unit</w:t>
            </w:r>
          </w:p>
        </w:tc>
        <w:tc>
          <w:tcPr>
            <w:tcW w:type="dxa" w:w="1728"/>
          </w:tcPr>
          <w:p>
            <w:r>
              <w:rPr>
                <w:b/>
                <w:sz w:val="18"/>
              </w:rPr>
              <w:t>printed (single rater)</w:t>
            </w:r>
          </w:p>
        </w:tc>
        <w:tc>
          <w:tcPr>
            <w:tcW w:type="dxa" w:w="1728"/>
          </w:tcPr>
          <w:p>
            <w:r>
              <w:rPr>
                <w:b/>
                <w:sz w:val="18"/>
              </w:rPr>
              <w:t>after first-party re-verification</w:t>
            </w:r>
          </w:p>
        </w:tc>
        <w:tc>
          <w:tcPr>
            <w:tcW w:type="dxa" w:w="1728"/>
          </w:tcPr>
          <w:p>
            <w:r>
              <w:rPr>
                <w:b/>
                <w:sz w:val="18"/>
              </w:rPr>
              <w:t>panel majority (all 8 coders)</w:t>
            </w:r>
          </w:p>
        </w:tc>
        <w:tc>
          <w:tcPr>
            <w:tcW w:type="dxa" w:w="1728"/>
          </w:tcPr>
          <w:p>
            <w:r>
              <w:rPr>
                <w:b/>
                <w:sz w:val="18"/>
              </w:rPr>
              <w:t>panel majority (first 5)</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release</w:t>
            </w:r>
          </w:p>
        </w:tc>
        <w:tc>
          <w:tcPr>
            <w:tcW w:type="dxa" w:w="1728"/>
          </w:tcPr>
          <w:p>
            <w:r>
              <w:rPr>
                <w:sz w:val="18"/>
              </w:rPr>
              <w:t>10/19</w:t>
            </w:r>
          </w:p>
        </w:tc>
        <w:tc>
          <w:tcPr>
            <w:tcW w:type="dxa" w:w="1728"/>
          </w:tcPr>
          <w:p>
            <w:r>
              <w:rPr>
                <w:sz w:val="18"/>
              </w:rPr>
              <w:t>14/19</w:t>
            </w:r>
          </w:p>
        </w:tc>
        <w:tc>
          <w:tcPr>
            <w:tcW w:type="dxa" w:w="1728"/>
          </w:tcPr>
          <w:p>
            <w:r>
              <w:rPr>
                <w:b/>
                <w:sz w:val="18"/>
              </w:rPr>
              <w:t>2/16 = 12.5 %</w:t>
            </w:r>
          </w:p>
        </w:tc>
        <w:tc>
          <w:tcPr>
            <w:tcW w:type="dxa" w:w="1728"/>
          </w:tcPr>
          <w:p>
            <w:r>
              <w:rPr>
                <w:b/>
                <w:sz w:val="18"/>
              </w:rPr>
              <w:t>2/16 = 12.5 %</w:t>
            </w:r>
          </w:p>
        </w:tc>
      </w:tr>
      <w:tr>
        <w:tc>
          <w:tcPr>
            <w:tcW w:type="dxa" w:w="1728"/>
          </w:tcPr>
          <w:p>
            <w:r>
              <w:rPr>
                <w:rFonts w:ascii="Consolas" w:hAnsi="Consolas"/>
                <w:sz w:val="18"/>
              </w:rPr>
              <w:t>protocol</w:t>
            </w:r>
          </w:p>
        </w:tc>
        <w:tc>
          <w:tcPr>
            <w:tcW w:type="dxa" w:w="1728"/>
          </w:tcPr>
          <w:p>
            <w:r>
              <w:rPr>
                <w:sz w:val="18"/>
              </w:rPr>
              <w:t>13/19</w:t>
            </w:r>
          </w:p>
        </w:tc>
        <w:tc>
          <w:tcPr>
            <w:tcW w:type="dxa" w:w="1728"/>
          </w:tcPr>
          <w:p>
            <w:r>
              <w:rPr>
                <w:sz w:val="18"/>
              </w:rPr>
              <w:t>14/19</w:t>
            </w:r>
          </w:p>
        </w:tc>
        <w:tc>
          <w:tcPr>
            <w:tcW w:type="dxa" w:w="1728"/>
          </w:tcPr>
          <w:p>
            <w:r>
              <w:rPr>
                <w:b/>
                <w:sz w:val="18"/>
              </w:rPr>
              <w:t>10/16 = 62.5 %</w:t>
            </w:r>
          </w:p>
        </w:tc>
        <w:tc>
          <w:tcPr>
            <w:tcW w:type="dxa" w:w="1728"/>
          </w:tcPr>
          <w:p>
            <w:r>
              <w:rPr>
                <w:b/>
                <w:sz w:val="18"/>
              </w:rPr>
              <w:t>10/15 = 66.7 %</w:t>
            </w:r>
          </w:p>
        </w:tc>
      </w:tr>
      <w:tr>
        <w:tc>
          <w:tcPr>
            <w:tcW w:type="dxa" w:w="1728"/>
          </w:tcPr>
          <w:p>
            <w:r>
              <w:rPr>
                <w:rFonts w:ascii="Consolas" w:hAnsi="Consolas"/>
                <w:sz w:val="18"/>
              </w:rPr>
              <w:t>yolo_dist</w:t>
            </w:r>
          </w:p>
        </w:tc>
        <w:tc>
          <w:tcPr>
            <w:tcW w:type="dxa" w:w="1728"/>
          </w:tcPr>
          <w:p>
            <w:r>
              <w:rPr>
                <w:sz w:val="18"/>
              </w:rPr>
              <w:t>4/19</w:t>
            </w:r>
          </w:p>
        </w:tc>
        <w:tc>
          <w:tcPr>
            <w:tcW w:type="dxa" w:w="1728"/>
          </w:tcPr>
          <w:p>
            <w:r>
              <w:rPr>
                <w:sz w:val="18"/>
              </w:rPr>
              <w:t>2/19</w:t>
            </w:r>
          </w:p>
        </w:tc>
        <w:tc>
          <w:tcPr>
            <w:tcW w:type="dxa" w:w="1728"/>
          </w:tcPr>
          <w:p>
            <w:r>
              <w:rPr>
                <w:b/>
                <w:sz w:val="18"/>
              </w:rPr>
              <w:t>2/6 = 33.3 %</w:t>
            </w:r>
          </w:p>
        </w:tc>
        <w:tc>
          <w:tcPr>
            <w:tcW w:type="dxa" w:w="1728"/>
          </w:tcPr>
          <w:p>
            <w:r>
              <w:rPr>
                <w:b/>
                <w:sz w:val="18"/>
              </w:rPr>
              <w:t>1/8 = 12.5 %</w:t>
            </w:r>
          </w:p>
        </w:tc>
      </w:tr>
      <w:tr>
        <w:tc>
          <w:tcPr>
            <w:tcW w:type="dxa" w:w="1728"/>
          </w:tcPr>
          <w:p>
            <w:r>
              <w:rPr>
                <w:rFonts w:ascii="Consolas" w:hAnsi="Consolas"/>
                <w:sz w:val="18"/>
              </w:rPr>
              <w:t>reported</w:t>
            </w:r>
          </w:p>
        </w:tc>
        <w:tc>
          <w:tcPr>
            <w:tcW w:type="dxa" w:w="1728"/>
          </w:tcPr>
          <w:p>
            <w:r>
              <w:rPr>
                <w:sz w:val="18"/>
              </w:rPr>
              <w:t>12/19</w:t>
            </w:r>
          </w:p>
        </w:tc>
        <w:tc>
          <w:tcPr>
            <w:tcW w:type="dxa" w:w="1728"/>
          </w:tcPr>
          <w:p>
            <w:r>
              <w:rPr>
                <w:sz w:val="18"/>
              </w:rPr>
              <w:t>10–11/19</w:t>
            </w:r>
          </w:p>
        </w:tc>
        <w:tc>
          <w:tcPr>
            <w:tcW w:type="dxa" w:w="1728"/>
          </w:tcPr>
          <w:p>
            <w:r>
              <w:rPr>
                <w:b/>
                <w:sz w:val="18"/>
              </w:rPr>
              <w:t>10/14 = 71.4 %</w:t>
            </w:r>
          </w:p>
        </w:tc>
        <w:tc>
          <w:tcPr>
            <w:tcW w:type="dxa" w:w="1728"/>
          </w:tcPr>
          <w:p>
            <w:r>
              <w:rPr>
                <w:b/>
                <w:sz w:val="18"/>
              </w:rPr>
              <w:t>10/13 = 76.9 %</w:t>
            </w:r>
          </w:p>
        </w:tc>
      </w:tr>
    </w:tbl>
    <w:p/>
    <w:p>
      <w:r>
        <w:rPr>
          <w:b/>
        </w:rPr>
        <w:t>Reading, with its limit stated.</w:t>
      </w:r>
      <w:r>
        <w:t xml:space="preserve"> On the </w:t>
      </w:r>
      <w:r>
        <w:rPr>
          <w:b/>
        </w:rPr>
        <w:t>`reported`</w:t>
      </w:r>
      <w:r>
        <w:t xml:space="preserve"> layer — the layer the paper’s claim actually turns on — the panel lands at </w:t>
      </w:r>
      <w:r>
        <w:rPr>
          <w:b/>
        </w:rPr>
        <w:t>71–77 %</w:t>
      </w:r>
      <w:r>
        <w:t xml:space="preserve"> non-independent, against the printed </w:t>
      </w:r>
      <w:r>
        <w:rPr>
          <w:b/>
        </w:rPr>
        <w:t>63 %</w:t>
      </w:r>
      <w:r>
        <w:t xml:space="preserve"> and the re-verified </w:t>
      </w:r>
      <w:r>
        <w:rPr>
          <w:b/>
        </w:rPr>
        <w:t>63–65 %</w:t>
      </w:r>
      <w:r>
        <w:t xml:space="preserve">: </w:t>
      </w:r>
      <w:r>
        <w:rPr>
          <w:b/>
        </w:rPr>
        <w:t>the layers agree</w:t>
      </w:r>
      <w:r>
        <w:t xml:space="preserve">. On </w:t>
      </w:r>
      <w:r>
        <w:rPr>
          <w:b/>
        </w:rPr>
        <w:t>`release`</w:t>
      </w:r>
      <w:r>
        <w:t xml:space="preserve"> the panel lands at </w:t>
      </w:r>
      <w:r>
        <w:rPr>
          <w:b/>
        </w:rPr>
        <w:t>12.5 %</w:t>
      </w:r>
      <w:r>
        <w:t xml:space="preserve"> against 53 %, and the gap is </w:t>
      </w:r>
      <w:r>
        <w:rPr>
          <w:b/>
        </w:rPr>
        <w:t>entirely the crosswalk</w:t>
      </w:r>
      <w:r>
        <w:t xml:space="preserve">: </w:t>
      </w:r>
      <w:r>
        <w:rPr>
          <w:rFonts w:ascii="Consolas" w:hAnsi="Consolas"/>
          <w:sz w:val="19"/>
        </w:rPr>
        <w:t>gated</w:t>
      </w:r>
      <w:r>
        <w:t xml:space="preserve"> is counted N under the rule’s </w:t>
      </w:r>
      <w:r>
        <w:rPr>
          <w:rFonts w:ascii="Consolas" w:hAnsi="Consolas"/>
          <w:sz w:val="19"/>
        </w:rPr>
        <w:t>test_gated</w:t>
      </w:r>
      <w:r>
        <w:t xml:space="preserve">, while most panel cells for that column read </w:t>
      </w:r>
      <w:r>
        <w:rPr>
          <w:rFonts w:ascii="Consolas" w:hAnsi="Consolas"/>
          <w:sz w:val="19"/>
        </w:rPr>
        <w:t>independent</w:t>
      </w:r>
      <w:r>
        <w:t xml:space="preserve">. We therefore report the panel sub-totals </w:t>
      </w:r>
      <w:r>
        <w:rPr>
          <w:b/>
        </w:rPr>
        <w:t>as computed under a stated mapping</w:t>
      </w:r>
      <w:r>
        <w:t xml:space="preserve"> and </w:t>
      </w:r>
      <w:r>
        <w:rPr>
          <w:b/>
        </w:rPr>
        <w:t>do not</w:t>
      </w:r>
      <w:r>
        <w:t xml:space="preserve"> present them as a correction of the printed counts: read that way, this is the same instrument-dependence the paper documents, now measured between a single rater and a five-model panel rather than re-described. A crosswalk authored by the coders, if supplied, would settle the </w:t>
      </w:r>
      <w:r>
        <w:rPr>
          <w:rFonts w:ascii="Consolas" w:hAnsi="Consolas"/>
          <w:sz w:val="19"/>
        </w:rPr>
        <w:t>release</w:t>
      </w:r>
      <w:r>
        <w:t xml:space="preserve"> column in one line.</w:t>
      </w:r>
    </w:p>
    <w:p>
      <w:r>
        <w:rPr>
          <w:b/>
        </w:rPr>
        <w:t>Inputs:</w:t>
      </w:r>
      <w:r>
        <w:t xml:space="preserve"> </w:t>
      </w:r>
      <w:r>
        <w:rPr>
          <w:rFonts w:ascii="Consolas" w:hAnsi="Consolas"/>
          <w:sz w:val="19"/>
        </w:rPr>
        <w:t>P2_coding_blind_matrices.json</w:t>
      </w:r>
      <w:r>
        <w:t xml:space="preserve">; rule: </w:t>
      </w:r>
      <w:r>
        <w:rPr>
          <w:rFonts w:ascii="Consolas" w:hAnsi="Consolas"/>
          <w:sz w:val="19"/>
        </w:rPr>
        <w:t>recompute_subtotals_corrected_20261010.py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