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there. Training and evaluation do not overlap — </w:t>
      </w:r>
      <w:r>
        <w:rPr>
          <w:b/>
        </w:rPr>
        <w:t>checkpoint selection</w:t>
      </w:r>
      <w:r>
        <w:t>, not contamination.</w:t>
      </w:r>
    </w:p>
    <w:p>
      <w:r>
        <w:rPr>
          <w:b/>
        </w:rPr>
        <w:t>2. The direction varies by corpus.</w:t>
      </w:r>
      <w:r>
        <w:t xml:space="preserve"> The premium is </w:t>
      </w:r>
      <w:r>
        <w:rPr>
          <w:b/>
        </w:rPr>
        <w:t>positive in all four cells</w:t>
      </w:r>
      <w:r>
        <w:t xml:space="preserve"> (§5.1; the baseline arm gains more), the </w:t>
      </w:r>
      <w:r>
        <w:rPr>
          <w:b/>
        </w:rPr>
        <w:t>paired Δgap</w:t>
      </w:r>
      <w:r>
        <w:t xml:space="preserve"> changing sign by corpus (</w:t>
      </w:r>
      <w:r>
        <w:rPr>
          <w:b/>
        </w:rPr>
        <w:t>not the selection term</w:t>
      </w:r>
      <w:r>
        <w:t xml:space="preserve">); a declared, </w:t>
      </w:r>
      <w:r>
        <w:rPr>
          <w:b/>
        </w:rPr>
        <w:t>descriptive</w:t>
      </w:r>
      <w:r>
        <w:t xml:space="preserve"> 13-cell family leaves </w:t>
      </w:r>
      <w:r>
        <w:rPr>
          <w:b/>
        </w:rPr>
        <w:t>3</w:t>
      </w:r>
      <w:r>
        <w:t xml:space="preserve"> after BH; </w:t>
      </w:r>
      <w:r>
        <w:rPr>
          <w:b/>
        </w:rPr>
        <w:t>five current-generation coders</w:t>
      </w:r>
      <w:r>
        <w:t xml:space="preserve"> agree at κ </w:t>
      </w:r>
      <w:r>
        <w:rPr>
          <w:b/>
        </w:rPr>
        <w:t>0.824</w:t>
      </w:r>
      <w:r>
        <w:t xml:space="preserve"> and, re-verifying each row, </w:t>
      </w:r>
      <w:r>
        <w:rPr>
          <w:b/>
        </w:rPr>
        <w:t>independently reach 19 of 30 corrected cells</w:t>
      </w:r>
      <w:r>
        <w:t xml:space="preserve"> (eleven unanimously), </w:t>
      </w:r>
      <w:r>
        <w:rPr>
          <w:b/>
        </w:rPr>
        <w:t>26 of 76</w:t>
      </w:r>
      <w:r>
        <w:t xml:space="preserve"> stay undecidable; the printed </w:t>
      </w:r>
      <w:r>
        <w:rPr>
          <w:b/>
        </w:rPr>
        <w:t>12–14 of 19</w:t>
      </w:r>
      <w:r>
        <w:t xml:space="preserve"> rest </w:t>
      </w:r>
      <w:r>
        <w:rPr>
          <w:b/>
        </w:rPr>
        <w:t>on one rater</w:t>
      </w:r>
      <w:r>
        <w:t xml:space="preserve">, </w:t>
      </w:r>
      <w:r>
        <w:rPr>
          <w:b/>
        </w:rPr>
        <w:t>10–11</w:t>
      </w:r>
      <w:r>
        <w:t xml:space="preserve"> after re-verification (§6.1, S12). </w:t>
      </w:r>
      <w:r>
        <w:rPr>
          <w:b/>
        </w:rPr>
        <w:t>The mean direction is metric-robust;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 </w:t>
      </w:r>
      <w:r>
        <w:rPr>
          <w:b/>
        </w:rPr>
        <w:t>+0.063 pp</w:t>
      </w:r>
      <w:r>
        <w:t xml:space="preserve">, p = 0.54, </w:t>
      </w:r>
      <w:r>
        <w:rPr>
          <w:b/>
        </w:rPr>
        <w:t>6+/5−</w:t>
      </w:r>
      <w:r>
        <w:t>).</w:t>
      </w:r>
    </w:p>
    <w:p>
      <w:r>
        <w:rPr>
          <w:b/>
        </w:rPr>
        <w:t>3. Partial realization on a disjoint split.</w:t>
      </w:r>
      <w:r>
        <w:t xml:space="preserve"> Separating the selection set from the reported set, the premium is realized only in part: the </w:t>
      </w:r>
      <w:r>
        <w:rPr>
          <w:b/>
        </w:rPr>
        <w:t>claim-level interval includes zero</w:t>
      </w:r>
      <w:r>
        <w:t xml:space="preserve"> ([−17.3 %, 53.2 %], P = 0.118); on a difference scale </w:t>
      </w:r>
      <w:r>
        <w:rPr>
          <w:b/>
        </w:rPr>
        <w:t>−1.367 pp</w:t>
      </w:r>
      <w:r>
        <w:t xml:space="preserve"> (CI </w:t>
      </w:r>
      <w:r>
        <w:rPr>
          <w:b/>
        </w:rPr>
        <w:t>[−1.59, −1.15]</w:t>
      </w:r>
      <w:r>
        <w:t xml:space="preserve">); run-level </w:t>
      </w:r>
      <w:r>
        <w:rPr>
          <w:b/>
        </w:rPr>
        <w:t>[8.4 %, 37.4 %]</w:t>
      </w:r>
      <w:r>
        <w:t xml:space="preserve"> (P = 0.002, a bootstrap tail proportion) and leave-one-out </w:t>
      </w:r>
      <w:r>
        <w:rPr>
          <w:b/>
        </w:rPr>
        <w:t>9.77 %–34.16 %</w:t>
      </w:r>
      <w:r>
        <w:t xml:space="preserve">; the arm-cell and run-weighted point estimates are </w:t>
      </w:r>
      <w:r>
        <w:rPr>
          <w:b/>
        </w:rPr>
        <w:t>descriptive</w:t>
      </w:r>
      <w:r>
        <w:t>, given only with intervals (Table 4).</w:t>
      </w:r>
    </w:p>
    <w:p>
      <w:r>
        <w:rPr>
          <w:b/>
        </w:rPr>
        <w:t>Replication lowers it 9 %–29 %</w:t>
      </w:r>
      <w:r>
        <w:t xml:space="preserve"> (§8);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slight-to-fair agreement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groups of 27 (Spearman ρ = −0.466, p = 1.3×10⁻⁵);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0.734</w:t>
      </w:r>
      <w:r>
        <w:t>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unit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