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(anyone can recompute independently)</w:t>
      </w:r>
    </w:p>
    <w:p>
      <w: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On </w:t>
      </w:r>
      <w:r>
        <w:rPr>
          <w:b/>
        </w:rPr>
        <w:t>both</w:t>
      </w:r>
      <w:r>
        <w:t xml:space="preserve"> corpora the sign pattern of S34/S34c reappears: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5,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(seven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5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the only multiplicity correction here is the Benjamini–Hochberg step over the declared 13-cell family, and only the pre-planned rows belong to that family.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 the intercept is indistinguishable from zero, so the through-origin constraint is </w:t>
      </w:r>
      <w:r>
        <w:rPr>
          <w:b/>
        </w:rPr>
        <w:t>supported rather than assumed</w:t>
      </w:r>
      <w:r>
        <w:t>.</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