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  <w:sz w:val="19"/>
        </w:rPr>
        <w:t>val</w:t>
      </w:r>
      <w:r>
        <w:t xml:space="preserve"> versus on </w:t>
      </w:r>
      <w:r>
        <w:rPr>
          <w:rFonts w:ascii="Consolas" w:hAnsi="Consolas"/>
          <w:sz w:val="19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as intervals only (Table 4). </w:t>
      </w:r>
      <w:r>
        <w:rPr>
          <w:b/>
        </w:rPr>
        <w:t>At full budget, 99 % (§8.8).</w:t>
      </w:r>
      <w:r>
        <w:t xml:space="preserve"> No power analysis was registered; the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 — </w:t>
      </w:r>
      <w:r>
        <w:rPr>
          <w:b/>
        </w:rPr>
        <w:t>this clean re-run is reported as sensitivity: the primary reading is the pre-declared series (C1 not met, C2 not rejected)</w:t>
      </w:r>
      <w:r>
        <w:t xml:space="preserve">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Equal split difficulty across arms is an </w:t>
      </w:r>
      <w:r>
        <w:rPr>
          <w:b/>
          <w:sz w:val="19"/>
        </w:rPr>
        <w:t>assumption we state</w:t>
      </w:r>
      <w:r>
        <w:rPr>
          <w:sz w:val="19"/>
        </w:rPr>
        <w:t xml:space="preserve">;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</w:t>
      </w:r>
    </w:p>
    <w:p>
      <w:r>
        <w:t xml:space="preserve">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  <w:sz w:val="19"/>
        </w:rPr>
        <w:t>prem_val</w:t>
      </w:r>
      <w:r>
        <w:t xml:space="preserve">, 95 % CI </w:t>
      </w:r>
      <w:r>
        <w:rPr>
          <w:b/>
        </w:rPr>
        <w:t>[26.9 %, 123.5 %]</w:t>
      </w:r>
      <w:r>
        <w:t>)</w:t>
      </w:r>
    </w:p>
    <w:p>
      <w:r>
        <w:t xml:space="preserve">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>. The escalated cells reach a **pooled</w:t>
      </w:r>
    </w:p>
    <w:p>
      <w:r>
        <w:t>55 %</w:t>
      </w:r>
      <w:r>
        <w:rPr>
          <w:b/>
        </w:rPr>
        <w:t xml:space="preserve">, but the two batches are </w:t>
      </w:r>
      <w:r>
        <w:t>not pooled** (§8.1). "The</w:t>
      </w:r>
    </w:p>
    <w:p>
      <w:r>
        <w:t xml:space="preserve">convention realizes about a quarter of the </w:t>
      </w:r>
      <w:r>
        <w:rPr>
          <w:rFonts w:ascii="Consolas" w:hAnsi="Consolas"/>
          <w:sz w:val="19"/>
        </w:rPr>
        <w:t>val</w:t>
      </w:r>
      <w:r>
        <w:t xml:space="preserve"> premium" would be false; "in these five cells, about</w:t>
      </w:r>
    </w:p>
    <w:p>
      <w:r>
        <w:t xml:space="preserve">a quarter survives" is what we measured. The rate is moreover </w:t>
      </w:r>
      <w:r>
        <w:rPr>
          <w:b/>
        </w:rPr>
        <w:t>scale-dependent</w:t>
      </w:r>
      <w:r>
        <w:t xml:space="preserve"> (§8.8): at full</w:t>
      </w:r>
    </w:p>
    <w:p>
      <w:r>
        <w:t xml:space="preserve">training budget on the same corpus it reaches </w:t>
      </w:r>
      <w:r>
        <w:rPr>
          <w:b/>
        </w:rPr>
        <w:t>+99.2 %</w:t>
      </w:r>
      <w:r>
        <w:t>, so the 20 %-train reading is the</w:t>
      </w:r>
    </w:p>
    <w:p>
      <w:r>
        <w:rPr>
          <w:b/>
        </w:rPr>
        <w:t>worst</w:t>
      </w:r>
      <w:r>
        <w:t xml:space="preserve"> of the two regimes measured, not a general constant.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value (6 probes each, </w:t>
            </w:r>
            <w:r>
              <w:rPr>
                <w:b/>
                <w:sz w:val="18"/>
              </w:rPr>
              <w:t>0/6 hits</w:t>
            </w:r>
            <w:r>
              <w:rPr>
                <w:sz w:val="18"/>
              </w:rPr>
              <w:t xml:space="preserve">) ⇒ </w:t>
            </w:r>
            <w:r>
              <w:rPr>
                <w:b/>
                <w:sz w:val="18"/>
              </w:rPr>
              <w:t>no surviving stdout ledger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 do not point at a replacement file</w:t>
            </w:r>
            <w:r>
              <w:rPr>
                <w:sz w:val="18"/>
              </w:rPr>
              <w:t xml:space="preserve"> (renaming would manufacture a new false citation); the text says </w:t>
            </w:r>
            <w:r>
              <w:rPr>
                <w:b/>
                <w:sz w:val="18"/>
              </w:rPr>
              <w:t>"no stdout ledger"</w:t>
            </w:r>
            <w:r>
              <w:rPr>
                <w:sz w:val="18"/>
              </w:rPr>
              <w:t xml:space="preserve">, and the p-values are recomputable from </w:t>
            </w:r>
            <w:r>
              <w:rPr>
                <w:rFonts w:ascii="Consolas" w:hAnsi="Consolas"/>
                <w:sz w:val="18"/>
              </w:rPr>
              <w:t>pvalue_table_local.py</w:t>
            </w:r>
            <w:r>
              <w:rPr>
                <w:sz w:val="18"/>
              </w:rPr>
              <w:t>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</w:t>
            </w:r>
            <w:r>
              <w:rPr>
                <w:b/>
                <w:sz w:val="18"/>
              </w:rPr>
              <w:t>cite</w:t>
            </w:r>
            <w:r>
              <w:rPr>
                <w:sz w:val="18"/>
              </w:rPr>
              <w:t xml:space="preserve"> the augmentation component, whose record holds an SD and no per-run values; </w:t>
            </w:r>
            <w:r>
              <w:rPr>
                <w:b/>
                <w:sz w:val="18"/>
              </w:rPr>
              <w:t>no frozen effect-size rule file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script generates `benchmark_split_audit.md`</w:t>
            </w:r>
            <w:r>
              <w:rPr>
                <w:sz w:val="18"/>
              </w:rPr>
              <w:t xml:space="preserve"> (hand-written, 28 judgments as literals, though its counts are recomputed)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 xml:space="preserve"> — a batch reduction, or a fallback of label assignment to CPU that can fork the trajectory — and case (a) is </w:t>
            </w:r>
            <w:r>
              <w:rPr>
                <w:b/>
                <w:sz w:val="18"/>
              </w:rPr>
              <w:t>invisible in the standard artifacts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Disclosed, not retracted; we do not call the affected batches “clean”.</w:t>
            </w:r>
            <w:r>
              <w:rPr>
                <w:sz w:val="18"/>
              </w:rPr>
              <w:t xml:space="preserve"> Configuration-level hits: </w:t>
            </w:r>
            <w:r>
              <w:rPr>
                <w:b/>
                <w:sz w:val="18"/>
              </w:rPr>
              <w:t>2</w:t>
            </w:r>
            <w:r>
              <w:rPr>
                <w:sz w:val="18"/>
              </w:rPr>
              <w:t xml:space="preserve"> places, </w:t>
            </w:r>
            <w:r>
              <w:rPr>
                <w:b/>
                <w:sz w:val="18"/>
              </w:rPr>
              <w:t>4</w:t>
            </w:r>
            <w:r>
              <w:rPr>
                <w:sz w:val="18"/>
              </w:rPr>
              <w:t xml:space="preserve"> runs. </w:t>
            </w:r>
            <w:r>
              <w:rPr>
                <w:b/>
                <w:sz w:val="18"/>
              </w:rPr>
              <w:t>A reproducibility residual, not an event size</w:t>
            </w:r>
            <w:r>
              <w:rPr>
                <w:sz w:val="18"/>
              </w:rPr>
              <w:t xml:space="preserve">: same-config repeats are </w:t>
            </w:r>
            <w:r>
              <w:rPr>
                <w:b/>
                <w:sz w:val="18"/>
              </w:rPr>
              <w:t>bit-identical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0.000 pp</w:t>
            </w:r>
            <w:r>
              <w:rPr>
                <w:sz w:val="18"/>
              </w:rPr>
              <w:t xml:space="preserve">, four pairs, same machine and day), while the quantity a bound would be about — archived run against clean re-run — is </w:t>
            </w:r>
            <w:r>
              <w:rPr>
                <w:b/>
                <w:sz w:val="18"/>
              </w:rPr>
              <w:t>0.000 / 0.020 / 0.150 / 0.000 pp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Table S41</w:t>
            </w:r>
            <w:r>
              <w:rPr>
                <w:sz w:val="18"/>
              </w:rPr>
              <w:t xml:space="preserve">), so </w:t>
            </w:r>
            <w:r>
              <w:rPr>
                <w:b/>
                <w:sz w:val="18"/>
              </w:rPr>
              <w:t>≤0.05 pp</w:t>
            </w:r>
            <w:r>
              <w:rPr>
                <w:sz w:val="18"/>
              </w:rPr>
              <w:t xml:space="preserve"> holds only inside the clean E = 50 batch and is </w:t>
            </w:r>
            <w:r>
              <w:rPr>
                <w:b/>
                <w:sz w:val="18"/>
              </w:rPr>
              <w:t>not extrapolated</w:t>
            </w:r>
            <w:r>
              <w:rPr>
                <w:sz w:val="18"/>
              </w:rPr>
              <w:t xml:space="preserve">; without a no-event control the event effect is </w:t>
            </w:r>
            <w:r>
              <w:rPr>
                <w:b/>
                <w:sz w:val="18"/>
              </w:rPr>
              <w:t>unidentified</w:t>
            </w:r>
            <w:r>
              <w:rPr>
                <w:sz w:val="18"/>
              </w:rPr>
              <w:t xml:space="preserve"> (such a control is itself </w:t>
            </w:r>
            <w:r>
              <w:rPr>
                <w:b/>
                <w:sz w:val="18"/>
              </w:rPr>
              <w:t>not reproducible across dates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0.440 pp</w:t>
            </w:r>
            <w:r>
              <w:rPr>
                <w:sz w:val="18"/>
              </w:rPr>
              <w:t xml:space="preserve">), and elsewhere it sits inside the zero-event-control spread. The one clear case is ΔVmax </w:t>
            </w:r>
            <w:r>
              <w:rPr>
                <w:b/>
                <w:sz w:val="18"/>
              </w:rPr>
              <w:t>+0.769 pp</w:t>
            </w:r>
            <w:r>
              <w:rPr>
                <w:sz w:val="18"/>
              </w:rPr>
              <w:t xml:space="preserve">. Event counts, per-run consequences and the log fingerprints are in </w:t>
            </w:r>
            <w:r>
              <w:rPr>
                <w:b/>
                <w:sz w:val="18"/>
              </w:rPr>
              <w:t>Supplementary S12 (defect 10)</w:t>
            </w:r>
            <w:r>
              <w:rPr>
                <w:sz w:val="18"/>
              </w:rPr>
              <w:t>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  <w:sz w:val="19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>; we do</w:t>
      </w:r>
    </w:p>
    <w:p>
      <w:r>
        <w:t xml:space="preserve">not guess. Counts are </w:t>
      </w:r>
      <w:r>
        <w:rPr>
          <w:b/>
        </w:rPr>
        <w:t>row-equal over the 19</w:t>
      </w:r>
      <w:r>
        <w:t xml:space="preserve">, and they carry </w:t>
      </w:r>
      <w:r>
        <w:rPr>
          <w:b/>
        </w:rPr>
        <w:t>no sampling interval, deliberately</w:t>
      </w:r>
    </w:p>
    <w:p>
      <w:r>
        <w:t xml:space="preserve">— the grading enters the </w:t>
      </w:r>
      <w:r>
        <w:rPr>
          <w:b/>
        </w:rPr>
        <w:t>count</w:t>
      </w:r>
      <w:r>
        <w:t xml:space="preserve"> itself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  <w:sz w:val="19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  <w:sz w:val="19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r>
        <w:t xml:space="preserve">- The </w:t>
      </w:r>
      <w:r>
        <w:rPr>
          <w:b/>
        </w:rPr>
        <w:t>scale-dependence</w:t>
      </w:r>
      <w:r>
        <w:t xml:space="preserve"> reading (§8.8) is **one corpus, one detector, the same </w:t>
      </w:r>
      <w:r>
        <w:rPr>
          <w:rFonts w:ascii="Consolas" w:hAnsi="Consolas"/>
          <w:sz w:val="19"/>
        </w:rPr>
        <w:t>lr0</w:t>
      </w:r>
      <w:r>
        <w:t xml:space="preserve"> axis as</w:t>
      </w:r>
    </w:p>
    <w:p>
      <w:r>
        <w:t>§5.1</w:t>
      </w:r>
      <w:r>
        <w:rPr>
          <w:b/>
        </w:rPr>
        <w:t xml:space="preserve"> (20 runs, ten file orders per arm); it does </w:t>
      </w:r>
      <w:r>
        <w:t>not</w:t>
      </w:r>
      <w:r>
        <w:rPr>
          <w:b/>
        </w:rPr>
        <w:t xml:space="preserve"> re-open §8.6's pool, and </w:t>
      </w:r>
      <w:r>
        <w:t>no interval</w:t>
      </w:r>
    </w:p>
    <w:p>
      <w:r>
        <w:t>of §8.6's folds into it**.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  <w:sz w:val="19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**without</w:t>
      </w:r>
    </w:p>
    <w:p>
      <w:r>
        <w:t>retraining</w:t>
      </w:r>
      <w:r>
        <w:rPr>
          <w:b/>
        </w:rPr>
        <w:t xml:space="preserve">, each with its script; </w:t>
      </w:r>
      <w:r>
        <w:t>three are not, and they are named**: the corpora and carve directories the</w:t>
      </w:r>
    </w:p>
    <w:p>
      <w:r>
        <w:t xml:space="preserve">archive </w:t>
      </w:r>
      <w:r>
        <w:rPr>
          <w:b/>
        </w:rPr>
        <w:t>holds no copy of</w:t>
      </w:r>
      <w:r>
        <w:t xml:space="preserve"> (open corpora, images not in the pack; §10 defect 6), the conflicting-endpoint archives</w:t>
      </w:r>
    </w:p>
    <w:p>
      <w:r>
        <w:t xml:space="preserve">(§7.3), the </w:t>
      </w:r>
      <w:r>
        <w:rPr>
          <w:rFonts w:ascii="Consolas" w:hAnsi="Consolas"/>
          <w:sz w:val="19"/>
        </w:rPr>
        <w:t>aitod20</w:t>
      </w:r>
      <w:r>
        <w:t xml:space="preserve"> completion to n = 10, and the </w:t>
      </w:r>
      <w:r>
        <w:rPr>
          <w:b/>
        </w:rPr>
        <w:t>S38b escalation</w:t>
      </w:r>
      <w:r>
        <w:t xml:space="preserve"> (the ten arm-cells re-read at n = 10 on</w:t>
      </w:r>
    </w:p>
    <w:p>
      <w:r>
        <w:t xml:space="preserve">2026-10-06: </w:t>
      </w:r>
      <w:r>
        <w:rPr>
          <w:rFonts w:ascii="Consolas" w:hAnsi="Consolas"/>
          <w:sz w:val="19"/>
        </w:rPr>
        <w:t>work/collect_test_final.py</w:t>
      </w:r>
      <w:r>
        <w:t xml:space="preserve">, </w:t>
      </w:r>
      <w:r>
        <w:rPr>
          <w:rFonts w:ascii="Consolas" w:hAnsi="Consolas"/>
          <w:sz w:val="19"/>
        </w:rPr>
        <w:t>work/_archive_results_csv.py</w:t>
      </w:r>
      <w:r>
        <w:t>, and the per-run file</w:t>
      </w:r>
    </w:p>
    <w:p>
      <w:r>
        <w:rPr>
          <w:rFonts w:ascii="Consolas" w:hAnsi="Consolas"/>
          <w:sz w:val="19"/>
        </w:rPr>
        <w:t>g6_prem_per_run_210_20261006.csv</w:t>
      </w:r>
      <w:r>
        <w:t>).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>; the tables</w:t>
      </w:r>
    </w:p>
    <w:p>
      <w:r>
        <w:t xml:space="preserve">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</w:t>
      </w:r>
    </w:p>
    <w:p>
      <w:r>
        <w:t>guard the claims, and six checkers</w:t>
      </w:r>
    </w:p>
    <w:p>
      <w:r>
        <w:t>(</w:t>
      </w:r>
      <w:r>
        <w:rPr>
          <w:rFonts w:ascii="Consolas" w:hAnsi="Consolas"/>
          <w:sz w:val="19"/>
        </w:rPr>
        <w:t>audit_anchors_fupaper.py</w:t>
      </w:r>
      <w:r>
        <w:t xml:space="preserve">, </w:t>
      </w:r>
      <w:r>
        <w:rPr>
          <w:rFonts w:ascii="Consolas" w:hAnsi="Consolas"/>
          <w:sz w:val="19"/>
        </w:rPr>
        <w:t>check_crosscite.py</w:t>
      </w:r>
      <w:r>
        <w:t xml:space="preserve">, </w:t>
      </w:r>
      <w:r>
        <w:rPr>
          <w:rFonts w:ascii="Consolas" w:hAnsi="Consolas"/>
          <w:sz w:val="19"/>
        </w:rPr>
        <w:t>verify_pulled.py</w:t>
      </w:r>
      <w:r>
        <w:t xml:space="preserve">, </w:t>
      </w:r>
      <w:r>
        <w:rPr>
          <w:rFonts w:ascii="Consolas" w:hAnsi="Consolas"/>
          <w:sz w:val="19"/>
        </w:rPr>
        <w:t>gap_mechanism_20260916.py</w:t>
      </w:r>
      <w:r>
        <w:t>,</w:t>
      </w:r>
    </w:p>
    <w:p>
      <w:r>
        <w:rPr>
          <w:rFonts w:ascii="Consolas" w:hAnsi="Consolas"/>
          <w:sz w:val="19"/>
        </w:rPr>
        <w:t>verify_pr_forms_20260917.py</w:t>
      </w:r>
      <w:r>
        <w:t xml:space="preserve">, </w:t>
      </w:r>
      <w:r>
        <w:rPr>
          <w:rFonts w:ascii="Consolas" w:hAnsi="Consolas"/>
          <w:sz w:val="19"/>
        </w:rPr>
        <w:t>verify_submission_pack_20260917.py</w:t>
      </w:r>
      <w:r>
        <w:t>) ship with the archive: **one runs unaided for a holder of the archive; four are author-side gates; and the remaining one -- the</w:t>
      </w:r>
    </w:p>
    <w:p>
      <w:r>
        <w:t>anchor audit itself -- is partly runnable, checking 270 of the 289 anchors from the released copy alone</w:t>
      </w:r>
    </w:p>
    <w:p>
      <w:r>
        <w:t>(the other 19 need the authors working-tree inputs)**. The archive is the one deposited above.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