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at n = 10 the two headline cells read </w:t>
      </w:r>
      <w:r>
        <w:rPr>
          <w:b/>
        </w:rPr>
        <w:t>+0.544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 and </w:t>
      </w:r>
      <w:r>
        <w:rPr>
          <w:b/>
        </w:rPr>
        <w:t>+0.397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), both 10+/0−, and both differences hold at n = 10 (Supplementary S12). </w:t>
      </w:r>
      <w:r>
        <w:rPr>
          <w:b/>
        </w:rPr>
        <w:t>A different run set from the transfer measurement in §8.6</w:t>
      </w:r>
      <w:r>
        <w:t xml:space="preserve"> — the two tables’ premiums are </w:t>
      </w:r>
      <w:r>
        <w:rPr>
          <w:b/>
        </w:rPr>
        <w:t>different quantities, not two readings of one</w:t>
      </w:r>
      <w:r>
        <w:t xml:space="preserve"> (which run set each uses: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 files for every column: </w:t>
      </w:r>
      <w:r>
        <w:rPr>
          <w:b/>
        </w:rPr>
        <w:t>Supplementary S12</w:t>
      </w:r>
      <w:r>
        <w:t xml:space="preserve"> (this revision's two batches included). </w:t>
      </w:r>
      <w:r>
        <w:rPr>
          <w:b/>
        </w:rPr>
        <w:t>Read with the 2026-10-06 escalation folded in, the full twenty-six-cell pool keeps its direction</w:t>
      </w:r>
      <w:r>
        <w:t xml:space="preserve">: </w:t>
      </w:r>
      <w:r>
        <w:rPr>
          <w:rFonts w:ascii="Consolas" w:hAnsi="Consolas"/>
        </w:rPr>
        <w:t>WC &gt; 0</w:t>
      </w:r>
      <w:r>
        <w:t xml:space="preserve"> in </w:t>
      </w:r>
      <w:r>
        <w:rPr>
          <w:b/>
        </w:rPr>
        <w:t>25 of 26</w:t>
      </w:r>
      <w:r>
        <w:t xml:space="preserve"> arm-cells, the arm-cell median realization rate </w:t>
      </w:r>
      <w:r>
        <w:rPr>
          <w:b/>
        </w:rPr>
        <w:t>17.2 % → 21.6 %</w:t>
      </w:r>
      <w:r>
        <w:t xml:space="preserve">, and the premium still negative in </w:t>
      </w:r>
      <w:r>
        <w:rPr>
          <w:b/>
        </w:rPr>
        <w:t>8 of 13</w:t>
      </w:r>
      <w:r>
        <w:t xml:space="preserve"> strategy arms (</w:t>
      </w:r>
      <w:r>
        <w:rPr>
          <w:b/>
        </w:rPr>
        <w:t>Supplementary S12</w:t>
      </w:r>
      <w:r>
        <w:t xml:space="preserve">, Table S38b).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 </w:t>
      </w:r>
      <w:r>
        <w:rPr>
          <w:b/>
        </w:rPr>
        <w:t>and not general across corpora — extending the same test to eight further arm-cells reverses it (Supplementary S11, Measurement 3)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they carry </w:t>
      </w:r>
      <w:r>
        <w:rPr>
          <w:b/>
        </w:rPr>
        <w:t>no sampling interval, deliberately</w:t>
      </w:r>
      <w:r>
        <w:t xml:space="preserve"> — the grading enters the </w:t>
      </w:r>
      <w:r>
        <w:rPr>
          <w:b/>
        </w:rPr>
        <w:t>count</w:t>
      </w:r>
      <w:r>
        <w:t xml:space="preserve"> itself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