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r>
        <w:rPr>
          <w:b/>
        </w:rPr>
        <w:t>Working title (v0.1). Target venue: Pattern Recognition (Elsevier).</w:t>
      </w:r>
    </w:p>
    <w:p>
      <w:r>
        <w:t xml:space="preserve">&gt; </w:t>
      </w:r>
      <w:r>
        <w:rPr>
          <w:b/>
        </w:rPr>
        <w:t>Provenance of this file.</w:t>
      </w:r>
      <w:r>
        <w:t xml:space="preserve"> The English submission form of the P2 manuscript, a faithful</w:t>
      </w:r>
    </w:p>
    <w:p>
      <w:r>
        <w:t xml:space="preserve">&gt; translation of the Chinese governing draft </w:t>
      </w:r>
      <w:r>
        <w:rPr>
          <w:rFonts w:ascii="Consolas" w:hAnsi="Consolas"/>
        </w:rPr>
        <w:t>评测有效性稿_正文_v0.1.md</w:t>
      </w:r>
    </w:p>
    <w:p>
      <w:r>
        <w:t xml:space="preserve">&gt; (md5 </w:t>
      </w:r>
      <w:r>
        <w:rPr>
          <w:rFonts w:ascii="Consolas" w:hAnsi="Consolas"/>
        </w:rPr>
        <w:t>fe880ca0e3af77983382065db75255f3</w:t>
      </w:r>
      <w:r>
        <w:t>, the state it was translated from, 2026-09-18; that draft is a live</w:t>
      </w:r>
    </w:p>
    <w:p>
      <w:r>
        <w:t xml:space="preserve">&gt; document, re-hashed whenever it changes — see </w:t>
      </w:r>
      <w:r>
        <w:rPr>
          <w:rFonts w:ascii="Consolas" w:hAnsi="Consolas"/>
        </w:rPr>
        <w:t>work/verify_text_hashes_20260917.py</w:t>
      </w:r>
      <w:r>
        <w:t>); every number is unchanged and backed by the</w:t>
      </w:r>
    </w:p>
    <w:p>
      <w:r>
        <w:t>&gt; local artifacts listed in the Supplementary Material. Where the drafts disagree, the Chinese governs.</w:t>
      </w:r>
    </w:p>
    <w:p>
      <w:r>
        <w:t xml:space="preserve">&gt; Citation numbers refer to the References section of this manuscript, which is </w:t>
      </w:r>
      <w:r>
        <w:rPr>
          <w:b/>
        </w:rPr>
        <w:t>ordered by first appearance</w:t>
      </w:r>
    </w:p>
    <w:p>
      <w:r>
        <w:t>&gt; in the text (re-ordered once, on 2026-10-04, so that the numbering and the printed order agree). Every entry was verified against Crossref or DataCite DOI records</w:t>
      </w:r>
    </w:p>
    <w:p>
      <w:r>
        <w:t>&gt; or against the cited project's own page before it was added.</w:t>
      </w:r>
    </w:p>
    <w:p>
      <w:r>
        <w:t>&gt; The four citations unresolved in the first draft — [A] the CVPR 2026 geospatial leakage</w:t>
      </w:r>
    </w:p>
    <w:p>
      <w:r>
        <w:t xml:space="preserve">&gt; audit, [B] AI-TOD, [C] UAVDT, [D] D-Fire — are </w:t>
      </w:r>
      <w:r>
        <w:rPr>
          <w:b/>
        </w:rPr>
        <w:t>now verified</w:t>
      </w:r>
      <w:r>
        <w:t xml:space="preserve"> as </w:t>
      </w:r>
      <w:r>
        <w:rPr>
          <w:b/>
        </w:rPr>
        <w:t>[1] [2] [3] [4]</w:t>
      </w:r>
      <w:r>
        <w:t>; two of</w:t>
      </w:r>
    </w:p>
    <w:p>
      <w:r>
        <w:t>&gt; the four titles and one venue had differed in an unverified citation.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arms' relative difference on </w:t>
      </w:r>
      <w:r>
        <w:rPr>
          <w:rFonts w:ascii="Consolas" w:hAnsi="Consolas"/>
        </w:rPr>
        <w:t>val</w:t>
      </w:r>
      <w:r>
        <w:t xml:space="preserve"> versus on </w:t>
      </w:r>
      <w:r>
        <w:rPr>
          <w:rFonts w:ascii="Consolas" w:hAnsi="Consolas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, p = 0.54). A declared,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given with intervals only (Table 4). No power analysis was registered, so the scan's nine </w:t>
      </w:r>
      <w:r>
        <w:rPr>
          <w:rFonts w:ascii="Consolas" w:hAnsi="Consolas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actually reports is printed as </w:t>
      </w:r>
      <w:r>
        <w:rPr>
          <w:b/>
        </w:rPr>
        <w:t>12–14 of 19</w:t>
      </w:r>
      <w:r>
        <w:t xml:space="preserve">; re-verifying every row first-hand and re-coding blind with </w:t>
      </w:r>
      <w:r>
        <w:rPr>
          <w:b/>
        </w:rPr>
        <w:t>five</w:t>
      </w:r>
      <w:r>
        <w:t xml:space="preserve"> current-generation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the 30 are not recovered</w:t>
      </w:r>
      <w:r>
        <w:t xml:space="preserve"> (§6.1, S12).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</w:rPr>
        <w:t>release</w:t>
      </w:r>
      <w:r>
        <w:t xml:space="preserve">, </w:t>
      </w:r>
      <w:r>
        <w:rPr>
          <w:rFonts w:ascii="Consolas" w:hAnsi="Consolas"/>
        </w:rPr>
        <w:t>protocol</w:t>
      </w:r>
      <w:r>
        <w:t xml:space="preserve">, </w:t>
      </w:r>
      <w:r>
        <w:rPr>
          <w:rFonts w:ascii="Consolas" w:hAnsi="Consolas"/>
        </w:rPr>
        <w:t>yolo_dist</w:t>
      </w:r>
      <w:r>
        <w:t xml:space="preserve">, </w:t>
      </w:r>
      <w:r>
        <w:rPr>
          <w:rFonts w:ascii="Consolas" w:hAnsi="Consolas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the selection premium is positive in all four cells and the baseline arm gains more</w:t>
      </w:r>
      <w:r>
        <w:t xml:space="preserve">, consistent with the selection-bias literature, not new in kind; </w:t>
      </w:r>
      <w:r>
        <w:rPr>
          <w:b/>
        </w:rPr>
        <w:t>on the monitored split that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and </w:t>
      </w:r>
      <w:r>
        <w:rPr>
          <w:b/>
        </w:rPr>
        <w:t>the finding we report is the paired arm difference and its test side (§8.6)</w:t>
      </w:r>
      <w:r>
        <w:t xml:space="preserve">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</w:t>
      </w:r>
      <w:r>
        <w:rPr>
          <w:b/>
        </w:rPr>
        <w:t>eleven</w:t>
      </w:r>
      <w:r>
        <w:t xml:space="preserve">: ten </w:t>
      </w:r>
      <w:r>
        <w:rPr>
          <w:rFonts w:ascii="Consolas" w:hAnsi="Consolas"/>
        </w:rPr>
        <w:t>--shuffle-seed</w:t>
      </w:r>
      <w:r>
        <w:t xml:space="preserve"> runs plus one unseeded — Supplementary S12); both differences hold at n = 10. </w:t>
      </w:r>
      <w:r>
        <w:rPr>
          <w:b/>
        </w:rPr>
        <w:t>A different run set from the transfer measurement in §8.6</w:t>
      </w:r>
      <w:r>
        <w:t xml:space="preserve">: these are the 569-run local archive under the published (aliased) protocol, while that measurement’s premiums come from the clean three-way runs — the two tables’ premiums are different quantities, not two readings of one.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The four counting units on the same nineteen benchmarks — the </w:t>
      </w:r>
      <w:r>
        <w:rPr>
          <w:b/>
        </w:rPr>
        <w:t>printed single-rater</w:t>
      </w:r>
      <w:r>
        <w:t xml:space="preserve"> counts (10/19 </w:t>
      </w:r>
      <w:r>
        <w:rPr>
          <w:rFonts w:ascii="Consolas" w:hAnsi="Consolas"/>
        </w:rPr>
        <w:t>release</w:t>
      </w:r>
      <w:r>
        <w:t xml:space="preserve">, 13/19 </w:t>
      </w:r>
      <w:r>
        <w:rPr>
          <w:rFonts w:ascii="Consolas" w:hAnsi="Consolas"/>
        </w:rPr>
        <w:t>protocol</w:t>
      </w:r>
      <w:r>
        <w:t xml:space="preserve">, 4/19 </w:t>
      </w:r>
      <w:r>
        <w:rPr>
          <w:rFonts w:ascii="Consolas" w:hAnsi="Consolas"/>
        </w:rPr>
        <w:t>yolo_dist</w:t>
      </w:r>
      <w:r>
        <w:t xml:space="preserve">, 12/19 </w:t>
      </w:r>
      <w:r>
        <w:rPr>
          <w:rFonts w:ascii="Consolas" w:hAnsi="Consolas"/>
        </w:rPr>
        <w:t>reported</w:t>
      </w:r>
      <w:r>
        <w:t>); the re-verified tallies are Table 3's second column.</w:t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judgement. </w:t>
      </w:r>
      <w:r>
        <w:rPr>
          <w:b/>
        </w:rPr>
        <w:t>Independent re-coding reproduces it only at 31.4 % (Round 7, coder agreement κ 0.836) and 42.2 % (Round 8, κ 0.811) of the printed marks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Its </w:t>
      </w:r>
      <w:r>
        <w:rPr>
          <w:b/>
        </w:rPr>
        <w:t>FROZEN-HASH</w:t>
      </w:r>
      <w:r>
        <w:t xml:space="preserve"> stamp is stated in </w:t>
      </w:r>
      <w:r>
        <w:rPr>
          <w:b/>
        </w:rPr>
        <w:t>§9</w:t>
      </w:r>
      <w:r>
        <w:t xml:space="preserve">; the registration </w:t>
      </w:r>
      <w:r>
        <w:rPr>
          <w:b/>
        </w:rPr>
        <w:t>text</w:t>
      </w:r>
      <w:r>
        <w:t xml:space="preserve"> itself is the 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 document.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The </w:t>
      </w:r>
      <w:r>
        <w:rPr>
          <w:rFonts w:ascii="Consolas" w:hAnsi="Consolas"/>
        </w:rPr>
        <w:t>val</w:t>
      </w:r>
      <w:r>
        <w:t xml:space="preserve">-selected premium against what it realizes on the disjoint </w:t>
      </w:r>
      <w:r>
        <w:rPr>
          <w:rFonts w:ascii="Consolas" w:hAnsi="Consolas"/>
        </w:rPr>
        <w:t>test</w:t>
      </w:r>
      <w:r>
        <w:t xml:space="preserve"> split, per arm-cell; the title's aggregate is the plotted pool's — </w:t>
      </w:r>
      <w:r>
        <w:rPr>
          <w:b/>
        </w:rPr>
        <w:t>§8.6</w:t>
      </w:r>
      <w: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(different runs, different protocol, 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Source: the </w:t>
      </w:r>
      <w:r>
        <w:rPr>
          <w:b/>
        </w:rPr>
        <w:t>per-epoch `val` curves</w:t>
      </w:r>
      <w:r>
        <w:t xml:space="preserve"> (</w:t>
      </w:r>
      <w:r>
        <w:rPr>
          <w:rFonts w:ascii="Consolas" w:hAnsi="Consolas"/>
        </w:rPr>
        <w:t>results.csv</w:t>
      </w:r>
      <w:r>
        <w:t xml:space="preserve">, for </w:t>
      </w:r>
      <w:r>
        <w:rPr>
          <w:rFonts w:ascii="Consolas" w:hAnsi="Consolas"/>
        </w:rPr>
        <w:t>prem_val</w:t>
      </w:r>
      <w:r>
        <w:t xml:space="preserve">), </w:t>
      </w:r>
      <w:r>
        <w:rPr>
          <w:rFonts w:ascii="Consolas" w:hAnsi="Consolas"/>
        </w:rPr>
        <w:t>xeval_20260916/matrix.csv</w:t>
      </w:r>
      <w:r>
        <w:t>, and this revision's two batches (</w:t>
      </w:r>
      <w:r>
        <w:rPr>
          <w:rFonts w:ascii="Consolas" w:hAnsi="Consolas"/>
        </w:rPr>
        <w:t>x4_teval.csv</w:t>
      </w:r>
      <w:r>
        <w:t xml:space="preserve"> on A, </w:t>
      </w:r>
      <w:r>
        <w:rPr>
          <w:rFonts w:ascii="Consolas" w:hAnsi="Consolas"/>
        </w:rPr>
        <w:t>x4fill_20260925.csv</w:t>
      </w:r>
      <w:r>
        <w:t xml:space="preserve"> on B, for </w:t>
      </w:r>
      <w:r>
        <w:rPr>
          <w:rFonts w:ascii="Consolas" w:hAnsi="Consolas"/>
        </w:rPr>
        <w:t>prem_test</w:t>
      </w:r>
      <w:r>
        <w:t xml:space="preserve">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 **†**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&gt; </w:t>
      </w:r>
      <w:r>
        <w:rPr>
          <w:b/>
        </w:rPr>
        <w:t>The inclusion rule, stated as a rule.</w:t>
      </w:r>
      <w:r>
        <w:t xml:space="preserve"> An arm-cell enters the pool </w:t>
      </w:r>
      <w:r>
        <w:rPr>
          <w:b/>
        </w:rPr>
        <w:t>iff its `test` side reached n ≥ 5</w:t>
      </w:r>
      <w:r>
        <w:t xml:space="preserve"> (</w:t>
      </w:r>
      <w:r>
        <w:rPr>
          <w:rFonts w:ascii="Consolas" w:hAnsi="Consolas"/>
        </w:rPr>
        <w:t>work/item2_final_v2_20260925.py</w:t>
      </w:r>
      <w:r>
        <w:t xml:space="preserve">), applied to every cell alike; </w:t>
      </w:r>
      <w:r>
        <w:rPr>
          <w:b/>
        </w:rPr>
        <w:t>exactly five met it at the 2026-09-25 freeze</w:t>
      </w:r>
      <w:r>
        <w:t xml:space="preserve"> (50 runs). The </w:t>
      </w:r>
      <w:r>
        <w:rPr>
          <w:rFonts w:ascii="Consolas" w:hAnsi="Consolas"/>
        </w:rPr>
        <w:t>aitod20</w:t>
      </w:r>
      <w:r>
        <w:t xml:space="preserve"> strategy row </w:t>
      </w:r>
      <w:r>
        <w:rPr>
          <w:b/>
        </w:rPr>
        <w:t>qualifies under the same rule but completed after the freeze</w:t>
      </w:r>
      <w:r>
        <w:t xml:space="preserve">, so it is printed here as the sixth row and kept out of the primary pool — </w:t>
      </w:r>
      <w:r>
        <w:rPr>
          <w:b/>
        </w:rPr>
        <w:t>the `†` row, and the only one</w:t>
      </w:r>
      <w:r>
        <w:t xml:space="preserve">; </w:t>
      </w:r>
      <w:r>
        <w:rPr>
          <w:b/>
        </w:rPr>
        <w:t>both readings are reported and both intervals cover zero</w:t>
      </w:r>
      <w:r>
        <w:t xml:space="preserve"> (Table S20's note, §8.6b).</w:t>
      </w:r>
    </w:p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The three bases</w:t>
      </w:r>
      <w:r>
        <w:t xml:space="preserve">: run-level </w:t>
      </w:r>
      <w:r>
        <w:rPr>
          <w:rFonts w:ascii="Consolas" w:hAnsi="Consolas"/>
        </w:rPr>
        <w:t>[8.4 %, 37.4 %]</w:t>
      </w:r>
      <w:r>
        <w:t xml:space="preserve">, </w:t>
      </w:r>
      <w:r>
        <w:rPr>
          <w:rFonts w:ascii="Consolas" w:hAnsi="Consolas"/>
        </w:rPr>
        <w:t>P = 0.002</w:t>
      </w:r>
      <w:r>
        <w:t xml:space="preserve">; five-cell </w:t>
      </w:r>
      <w:r>
        <w:rPr>
          <w:rFonts w:ascii="Consolas" w:hAnsi="Consolas"/>
        </w:rPr>
        <w:t>[−17.3 %, 53.2 %]</w:t>
      </w:r>
      <w:r>
        <w:t xml:space="preserve">, </w:t>
      </w:r>
      <w:r>
        <w:rPr>
          <w:rFonts w:ascii="Consolas" w:hAnsi="Consolas"/>
        </w:rPr>
        <w:t>P = 0.118</w:t>
      </w:r>
      <w:r>
        <w:t xml:space="preserve"> (claim-level, </w:t>
      </w:r>
      <w:r>
        <w:rPr>
          <w:b/>
        </w:rPr>
        <w:t>zero inside</w:t>
      </w:r>
      <w:r>
        <w:t xml:space="preserve">); eleven-cluster </w:t>
      </w:r>
      <w:r>
        <w:rPr>
          <w:rFonts w:ascii="Consolas" w:hAnsi="Consolas"/>
        </w:rPr>
        <w:t>[19.3 %, 60.4 %]</w:t>
      </w:r>
      <w:r>
        <w:t xml:space="preserve">, </w:t>
      </w:r>
      <w:r>
        <w:rPr>
          <w:rFonts w:ascii="Consolas" w:hAnsi="Consolas"/>
        </w:rPr>
        <w:t>P &lt; 0.001</w:t>
      </w:r>
      <w:r>
        <w:t xml:space="preserve"> (a bootstrap tail proportion </w:t>
      </w:r>
      <w:r>
        <w:rPr>
          <w:b/>
        </w:rPr>
        <w:t>at the 20,000-resample resolution</w:t>
      </w:r>
      <w:r>
        <w:t>, i.e. below the floor this procedure can print).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 xml:space="preserve">). Re-aggregated: run-weighted </w:t>
      </w:r>
      <w:r>
        <w:rPr>
          <w:b/>
        </w:rPr>
        <w:t>36.9 %</w:t>
      </w:r>
      <w:r>
        <w:t xml:space="preserve">, arm-cell-equal </w:t>
      </w:r>
      <w:r>
        <w:rPr>
          <w:b/>
        </w:rPr>
        <w:t>39.3 %</w:t>
      </w:r>
      <w:r>
        <w:t xml:space="preserve">, 95 % CI </w:t>
      </w:r>
      <w:r>
        <w:rPr>
          <w:b/>
        </w:rPr>
        <w:t>[19.3 %, 60.4 %]</w:t>
      </w:r>
      <w:r>
        <w:t xml:space="preserve"> — </w:t>
      </w:r>
      <w:r>
        <w:rPr>
          <w:b/>
        </w:rPr>
        <w:t>completing the cell, not the weighting, is what moves it</w:t>
      </w:r>
      <w:r>
        <w:t xml:space="preserve">: at n = 10 the three weightings agree, so </w:t>
      </w:r>
      <w:r>
        <w:rPr>
          <w:b/>
        </w:rPr>
        <w:t>the fragile axis is pool composition</w:t>
      </w:r>
      <w:r>
        <w:t xml:space="preserve">. </w:t>
      </w:r>
      <w:r>
        <w:rPr>
          <w:b/>
        </w:rPr>
        <w:t>Leave-one-out 9.77 % to 34.16 %.</w:t>
      </w:r>
      <w:r>
        <w:t xml:space="preserve"> In two arm-cells the selection action </w:t>
      </w:r>
      <w:r>
        <w:rPr>
          <w:b/>
        </w:rPr>
        <w:t>costs</w:t>
      </w:r>
      <w:r>
        <w:t xml:space="preserve"> rather than fails to pay off (</w:t>
      </w:r>
      <w:r>
        <w:rPr>
          <w:rFonts w:ascii="Consolas" w:hAnsi="Consolas"/>
        </w:rPr>
        <w:t>smoke2sf</w:t>
      </w:r>
      <w:r>
        <w:t xml:space="preserve"> strategy, </w:t>
      </w:r>
      <w:r>
        <w:rPr>
          <w:rFonts w:ascii="Consolas" w:hAnsi="Consolas"/>
        </w:rPr>
        <w:t>aitod20</w:t>
      </w:r>
      <w:r>
        <w:t xml:space="preserve"> baseline); the escalated cells of §5.1 are </w:t>
      </w:r>
      <w:r>
        <w:rPr>
          <w:b/>
        </w:rPr>
        <w:t>not pooled with these five</w:t>
      </w:r>
      <w:r>
        <w:t xml:space="preserve"> (different runs, different protocol). The closest concurrent work [12], the winner's-curse check, the withdrawn σ√(2 ln E) form and each cell's corpus pair: </w:t>
      </w:r>
      <w:r>
        <w:rPr>
          <w:b/>
        </w:rPr>
        <w:t>Supplementary S12</w:t>
      </w:r>
      <w:r>
        <w:t>.</w:t>
      </w:r>
    </w:p>
    <w:p>
      <w:r>
        <w:t xml:space="preserve">(the </w:t>
      </w:r>
      <w:r>
        <w:rPr>
          <w:rFonts w:ascii="Consolas" w:hAnsi="Consolas"/>
        </w:rPr>
        <w:t>best.pt</w:t>
      </w:r>
      <w:r>
        <w:t xml:space="preserve">-versus-argmax residual, our withdrawn attribution and why the remainder is </w:t>
      </w:r>
      <w:r>
        <w:rPr>
          <w:b/>
        </w:rPr>
        <w:t>unidentified</w:t>
      </w:r>
      <w:r>
        <w:t xml:space="preserve">: </w:t>
      </w:r>
      <w:r>
        <w:rPr>
          <w:b/>
        </w:rPr>
        <w:t>Supplementary S12</w:t>
      </w:r>
      <w:r>
        <w:t>.)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rPr>
          <w:b/>
        </w:rPr>
        <w:t>Recomputation status.</w:t>
      </w:r>
      <w:r>
        <w:t xml:space="preserve"> The readings were originally </w:t>
      </w:r>
      <w:r>
        <w:rPr>
          <w:b/>
        </w:rPr>
        <w:t>not locally recomputable</w:t>
      </w:r>
      <w:r>
        <w:t xml:space="preserve"> (the archive lacks 6 of 7 corpora; </w:t>
      </w:r>
      <w:r>
        <w:rPr>
          <w:b/>
        </w:rPr>
        <w:t>§10, defect 5</w:t>
      </w:r>
      <w:r>
        <w:t xml:space="preserve">); a GPU </w:t>
      </w:r>
      <w:r>
        <w:rPr>
          <w:b/>
        </w:rPr>
        <w:t>2 × 2 evaluation</w:t>
      </w:r>
      <w:r>
        <w:t xml:space="preserve"> on </w:t>
      </w:r>
      <w:r>
        <w:rPr>
          <w:b/>
        </w:rPr>
        <w:t>41</w:t>
      </w:r>
      <w:r>
        <w:t xml:space="preserve"> three-way runs of </w:t>
      </w:r>
      <w:r>
        <w:rPr>
          <w:b/>
        </w:rPr>
        <w:t>YOLOv12n [54]</w:t>
      </w:r>
      <w:r>
        <w:t xml:space="preserve"> × {</w:t>
      </w:r>
      <w:r>
        <w:rPr>
          <w:rFonts w:ascii="Consolas" w:hAnsi="Consolas"/>
        </w:rPr>
        <w:t>best</w:t>
      </w:r>
      <w:r>
        <w:t xml:space="preserve">, </w:t>
      </w:r>
      <w:r>
        <w:rPr>
          <w:rFonts w:ascii="Consolas" w:hAnsi="Consolas"/>
        </w:rPr>
        <w:t>last</w:t>
      </w:r>
      <w:r>
        <w:t>} × {</w:t>
      </w:r>
      <w:r>
        <w:rPr>
          <w:rFonts w:ascii="Consolas" w:hAnsi="Consolas"/>
        </w:rPr>
        <w:t>val</w:t>
      </w:r>
      <w:r>
        <w:t xml:space="preserve">, </w:t>
      </w:r>
      <w:r>
        <w:rPr>
          <w:rFonts w:ascii="Consolas" w:hAnsi="Consolas"/>
        </w:rPr>
        <w:t>test</w:t>
      </w:r>
      <w:r>
        <w:t xml:space="preserve">} makes them so, </w:t>
      </w:r>
      <w:r>
        <w:rPr>
          <w:b/>
        </w:rPr>
        <w:t>retraining not</w:t>
      </w:r>
      <w:r>
        <w:t xml:space="preserve">, reproducing the archived </w:t>
      </w:r>
      <w:r>
        <w:rPr>
          <w:rFonts w:ascii="Consolas" w:hAnsi="Consolas"/>
        </w:rPr>
        <w:t>best × test</w:t>
      </w:r>
      <w:r>
        <w:t xml:space="preserve"> values to within </w:t>
      </w:r>
      <w:r>
        <w:rPr>
          <w:b/>
        </w:rPr>
        <w:t>0.0047 pp</w:t>
      </w:r>
      <w:r>
        <w:t xml:space="preserve"> (median </w:t>
      </w:r>
      <w:r>
        <w:rPr>
          <w:b/>
        </w:rPr>
        <w:t>0.0021 pp</w:t>
      </w:r>
      <w:r>
        <w:t>) — the endpoint rule's positive control (</w:t>
      </w:r>
      <w:r>
        <w:rPr>
          <w:b/>
        </w:rPr>
        <w:t>Supplementary S12</w:t>
      </w:r>
      <w:r>
        <w:t>).</w:t>
      </w:r>
    </w:p>
    <w:p>
      <w:r>
        <w:rPr>
          <w:b/>
        </w:rPr>
        <w:t>Three limitations</w:t>
      </w:r>
      <w:r>
        <w:t xml:space="preserve">: ① in the </w:t>
      </w:r>
      <w:r>
        <w:rPr>
          <w:b/>
        </w:rPr>
        <w:t>41-run epoch sweep</w:t>
      </w:r>
      <w:r>
        <w:t xml:space="preserve"> only the two headline cells reach n = 10; </w:t>
      </w:r>
      <w:r>
        <w:rPr>
          <w:rFonts w:ascii="Consolas" w:hAnsi="Consolas"/>
        </w:rPr>
        <w:t>aitod20</w:t>
      </w:r>
      <w:r>
        <w:t xml:space="preserve"> contributes one run of 30 epochs and 6 checkpoints where others contribute </w:t>
      </w:r>
      <w:r>
        <w:rPr>
          <w:b/>
        </w:rPr>
        <w:t>20</w:t>
      </w:r>
      <w:r>
        <w:t xml:space="preserve"> (hence 806, not 820), its Table 4 arm-cell a separate n = 10 batch; ② </w:t>
      </w:r>
      <w:r>
        <w:rPr>
          <w:b/>
        </w:rPr>
        <w:t>closed: every retained checkpoint is now evaluated</w:t>
      </w:r>
      <w:r>
        <w:t xml:space="preserve">, the </w:t>
      </w:r>
      <w:r>
        <w:rPr>
          <w:i/>
        </w:rPr>
        <w:t>stability</w:t>
      </w:r>
      <w:r>
        <w:t xml:space="preserve"> reading is narrower than the grid; ③ κ is relative to each run's own final epoch, not causal. 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Realization rate against the noise scale σ̂ of the run's own </w:t>
      </w:r>
      <w:r>
        <w:rPr>
          <w:rFonts w:ascii="Consolas" w:hAnsi="Consolas"/>
        </w:rPr>
        <w:t>val</w:t>
      </w:r>
      <w:r>
        <w:t xml:space="preserve"> curve, over </w:t>
      </w:r>
      <w:r>
        <w:rPr>
          <w:b/>
        </w:rPr>
        <w:t>80 runs</w:t>
      </w:r>
      <w:r>
        <w:t xml:space="preserve"> in three terciles of </w:t>
      </w:r>
      <w:r>
        <w:rPr>
          <w:b/>
        </w:rPr>
        <w:t>27 / 27 / 26</w:t>
      </w:r>
      <w:r>
        <w:t xml:space="preserve"> (nine-cluster Spearman ρ = </w:t>
      </w:r>
      <w:r>
        <w:rPr>
          <w:b/>
        </w:rPr>
        <w:t>−0.433</w:t>
      </w:r>
      <w:r>
        <w:t>, p = 0.244; the run-level reading is −0.466); dashed: rate = 1, dotted: §8.6's pooled reading.</w:t>
      </w:r>
    </w:p>
    <w:p>
      <w:r>
        <w:rPr>
          <w:b/>
        </w:rPr>
        <w:t>Pool composition — and why the claim does not turn on it.</w:t>
      </w:r>
      <w:r>
        <w:t xml:space="preserve"> Table 4 prints </w:t>
      </w:r>
      <w:r>
        <w:rPr>
          <w:b/>
        </w:rPr>
        <w:t>six</w:t>
      </w:r>
      <w:r>
        <w:t xml:space="preserve"> measured arm-cells; adding the sixth (</w:t>
      </w:r>
      <w:r>
        <w:rPr>
          <w:rFonts w:ascii="Consolas" w:hAnsi="Consolas"/>
        </w:rPr>
        <w:t>aitod20</w:t>
      </w:r>
      <w:r>
        <w:t xml:space="preserve"> </w:t>
      </w:r>
      <w:r>
        <w:rPr>
          <w:b/>
        </w:rPr>
        <w:t>strategy</w:t>
      </w:r>
      <w:r>
        <w:t xml:space="preserve">) moves the run-weighted rate </w:t>
      </w:r>
      <w:r>
        <w:rPr>
          <w:b/>
        </w:rPr>
        <w:t>23.3 % → 8.7 %</w:t>
      </w:r>
      <w:r>
        <w:t xml:space="preserve"> and the median </w:t>
      </w:r>
      <w:r>
        <w:rPr>
          <w:b/>
        </w:rPr>
        <w:t>+17.6 % → −4.2 %</w:t>
      </w:r>
      <w:r>
        <w:t xml:space="preserve">. </w:t>
      </w:r>
      <w:r>
        <w:rPr>
          <w:b/>
        </w:rPr>
        <w:t>The inclusion rule is a rule, not a per-cell choice</w:t>
      </w:r>
      <w:r>
        <w:t xml:space="preserve">: an arm-cell enters </w:t>
      </w:r>
      <w:r>
        <w:rPr>
          <w:b/>
        </w:rPr>
        <w:t>iff its `test` side reached n ≥ 5</w:t>
      </w:r>
      <w:r>
        <w:t xml:space="preserve">, and </w:t>
      </w:r>
      <w:r>
        <w:rPr>
          <w:b/>
        </w:rPr>
        <w:t>exactly five met it at the freeze</w:t>
      </w:r>
      <w:r>
        <w:t>, where all three weightings coincide (</w:t>
      </w:r>
      <w:r>
        <w:rPr>
          <w:b/>
        </w:rPr>
        <w:t>23.26 %</w:t>
      </w:r>
      <w:r>
        <w:t xml:space="preserve">). The sixth row </w:t>
      </w:r>
      <w:r>
        <w:rPr>
          <w:b/>
        </w:rPr>
        <w:t>qualifies but completed later</w:t>
      </w:r>
      <w:r>
        <w:t xml:space="preserve">, so it is the sensitivity. </w:t>
      </w:r>
      <w:r>
        <w:rPr>
          <w:b/>
        </w:rPr>
        <w:t>Every claim is interval-level and any scope gives the same verdict</w:t>
      </w:r>
      <w:r>
        <w:t xml:space="preserve"> — five-cell </w:t>
      </w:r>
      <w:r>
        <w:rPr>
          <w:b/>
        </w:rPr>
        <w:t>[−17.3 %, 53.2 %]</w:t>
      </w:r>
      <w:r>
        <w:t xml:space="preserve"> (P = 0.118), six-cell </w:t>
      </w:r>
      <w:r>
        <w:rPr>
          <w:b/>
        </w:rPr>
        <w:t>[−4.9 %, +21.3 %]</w:t>
      </w:r>
      <w:r>
        <w:t xml:space="preserve">, eleven-cluster </w:t>
      </w:r>
      <w:r>
        <w:rPr>
          <w:b/>
        </w:rPr>
        <w:t>[19.3 %, 60.4 %]</w:t>
      </w:r>
      <w:r>
        <w:t xml:space="preserve"> — the cell-level intervals </w:t>
      </w:r>
      <w:r>
        <w:rPr>
          <w:b/>
        </w:rPr>
        <w:t>both cover zero</w:t>
      </w:r>
      <w:r>
        <w:t xml:space="preserve">, so </w:t>
      </w:r>
      <w:r>
        <w:rPr>
          <w:b/>
        </w:rPr>
        <w:t>no conclusion depends on the pool boundary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</w:t>
      </w:r>
      <w:r>
        <w:rPr>
          <w:b/>
        </w:rPr>
        <w:t>Left</w:t>
      </w:r>
      <w:r>
        <w:t xml:space="preserve">: mean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trajectories over 10 seeds, both headline cells (baseline solid, strategy dashed). </w:t>
      </w:r>
      <w:r>
        <w:rPr>
          <w:b/>
        </w:rPr>
        <w:t>Right</w:t>
      </w:r>
      <w:r>
        <w:t xml:space="preserve">: per-(seed, epoch) </w:t>
      </w:r>
      <w:r>
        <w:rPr>
          <w:rFonts w:ascii="Consolas" w:hAnsi="Consolas"/>
        </w:rPr>
        <w:t>val</w:t>
      </w:r>
      <w:r>
        <w:t xml:space="preserve"> movement against what transfers to </w:t>
      </w:r>
      <w:r>
        <w:rPr>
          <w:rFonts w:ascii="Consolas" w:hAnsi="Consolas"/>
        </w:rPr>
        <w:t>test</w:t>
      </w:r>
      <w:r>
        <w:t xml:space="preserve"> — the ratio is not taken (its denominator can vanish); the fit through the origin is </w:t>
      </w:r>
      <w:r>
        <w:rPr>
          <w:b/>
        </w:rPr>
        <w:t>κ = 0.708</w:t>
      </w:r>
      <w:r>
        <w:t xml:space="preserve"> (R² </w:t>
      </w:r>
      <w:r>
        <w:rPr>
          <w:b/>
        </w:rPr>
        <w:t>0.937</w:t>
      </w:r>
      <w:r>
        <w:t xml:space="preserve">, run-clustered 95 % CI </w:t>
      </w:r>
      <w:r>
        <w:rPr>
          <w:b/>
        </w:rPr>
        <w:t>[0.671, 0.745]</w:t>
      </w:r>
      <w:r>
        <w:t xml:space="preserve">; the title's </w:t>
      </w:r>
      <w:r>
        <w:rPr>
          <w:b/>
        </w:rPr>
        <w:t>0.734</w:t>
      </w:r>
      <w:r>
        <w:t xml:space="preserve"> is the earlier five-epoch grid).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 xml:space="preserve">, producing values such as </w:t>
      </w:r>
      <w:r>
        <w:rPr>
          <w:b/>
        </w:rPr>
        <w:t>−860 % and +1031 %</w:t>
      </w:r>
      <w:r>
        <w:t xml:space="preserve">: at late epochs </w:t>
      </w:r>
      <w:r>
        <w:rPr>
          <w:rFonts w:ascii="Consolas" w:hAnsi="Consolas"/>
        </w:rPr>
        <w:t>V(e) ≈ V(final)</w:t>
      </w:r>
      <w:r>
        <w:t xml:space="preserve">, the </w:t>
      </w:r>
      <w:r>
        <w:rPr>
          <w:b/>
        </w:rPr>
        <w:t>denominator vanishing</w:t>
      </w:r>
      <w:r>
        <w:t xml:space="preserve"> — </w:t>
      </w:r>
      <w:r>
        <w:rPr>
          <w:b/>
        </w:rPr>
        <w:t>an ill-conditioned metric, not a finding.</w:t>
      </w:r>
      <w:r>
        <w:t xml:space="preserve"> We report only the non-dividing </w:t>
      </w:r>
      <w:r>
        <w:rPr>
          <w:rFonts w:ascii="Consolas" w:hAnsi="Consolas"/>
        </w:rPr>
        <w:t>ΔV(e) = V(e) − V(final)</w:t>
      </w:r>
      <w:r>
        <w:t xml:space="preserve"> and </w:t>
      </w:r>
      <w:r>
        <w:rPr>
          <w:rFonts w:ascii="Consolas" w:hAnsi="Consolas"/>
        </w:rPr>
        <w:t>ΔT(e) = T(e) − T(final)</w:t>
      </w:r>
      <w:r>
        <w:t>, summarized by the through-origin slope κ of ΔT on ΔV.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intervention. The per-rule table and the candidate mechanism are in </w:t>
      </w:r>
      <w:r>
        <w:rPr>
          <w:b/>
        </w:rPr>
        <w:t>Supplementary S11</w:t>
      </w:r>
      <w:r>
        <w:t>, Measurement 3.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 grading enters the </w:t>
      </w:r>
      <w:r>
        <w:rPr>
          <w:b/>
        </w:rPr>
        <w:t>error bar, not the count</w:t>
      </w:r>
      <w:r>
        <w:t xml:space="preserve">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 — </w:t>
      </w:r>
      <w:r>
        <w:rPr>
          <w:b/>
        </w:rPr>
        <w:t>10/19</w:t>
      </w:r>
      <w:r>
        <w:t xml:space="preserve"> under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13/19</w:t>
      </w:r>
      <w:r>
        <w:t xml:space="preserve"> under </w:t>
      </w:r>
      <w:r>
        <w:rPr>
          <w:rFonts w:ascii="Consolas" w:hAnsi="Consolas"/>
        </w:rPr>
        <w:t>protocol</w:t>
      </w:r>
      <w:r>
        <w:t xml:space="preserve">, </w:t>
      </w:r>
      <w:r>
        <w:rPr>
          <w:b/>
        </w:rPr>
        <w:t>4/19</w:t>
      </w:r>
      <w:r>
        <w:t xml:space="preserve"> under </w:t>
      </w:r>
      <w:r>
        <w:rPr>
          <w:rFonts w:ascii="Consolas" w:hAnsi="Consolas"/>
        </w:rPr>
        <w:t>yolo_dist</w:t>
      </w:r>
      <w:r>
        <w:t xml:space="preserve">, and </w:t>
      </w:r>
      <w:r>
        <w:rPr>
          <w:b/>
        </w:rPr>
        <w:t>12–14 of the 19</w:t>
      </w:r>
      <w:r>
        <w:t xml:space="preserve"> under </w:t>
      </w:r>
      <w:r>
        <w:rPr>
          <w:rFonts w:ascii="Consolas" w:hAnsi="Consolas"/>
        </w:rPr>
        <w:t>reported</w:t>
      </w:r>
      <w:r>
        <w:t xml:space="preserve"> (whose COCO-</w:t>
      </w:r>
      <w:r>
        <w:rPr>
          <w:rFonts w:ascii="Consolas" w:hAnsi="Consolas"/>
        </w:rPr>
        <w:t>val</w:t>
      </w:r>
      <w:r>
        <w:t xml:space="preserve"> reading is </w:t>
      </w:r>
      <w:r>
        <w:rPr>
          <w:b/>
        </w:rPr>
        <w:t>13/19</w:t>
      </w:r>
      <w:r>
        <w:t xml:space="preserve">). </w:t>
      </w:r>
      <w:r>
        <w:rPr>
          <w:b/>
        </w:rPr>
        <w:t>Re-tallied after the 2026-10-09 first-party correction record, under the same per-column rule and with these printed counts frozen, the same four units read 14/19, 14/19, 2/19 and 10–11 of the 19</w:t>
      </w:r>
      <w:r>
        <w:t xml:space="preserve"> (Table 3, Supplementary S12) — the two </w:t>
      </w:r>
      <w:r>
        <w:rPr>
          <w:b/>
        </w:rPr>
        <w:t>layer</w:t>
      </w:r>
      <w:r>
        <w:t xml:space="preserve"> units rise, the two </w:t>
      </w:r>
      <w:r>
        <w:rPr>
          <w:b/>
        </w:rPr>
        <w:t>package and report</w:t>
      </w:r>
      <w:r>
        <w:t xml:space="preserve"> units fall, and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).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package — data, per-epoch matrix, verdicts, checkers, </w:t>
      </w:r>
      <w:r>
        <w:rPr>
          <w:rFonts w:ascii="Consolas" w:hAnsi="Consolas"/>
        </w:rPr>
        <w:t>MANIFEST_sha256.csv</w:t>
      </w:r>
      <w:r>
        <w:t xml:space="preserve"> — is at </w:t>
      </w:r>
      <w:r>
        <w:rPr>
          <w:b/>
        </w:rPr>
        <w:t>https://github.com/YBP2005/P2.git</w:t>
      </w:r>
      <w:r>
        <w:t xml:space="preserve"> (accessed 2026-09-29). The reproduction package itself — data files, per-epoch matrix, verdict files, checkers, with their SHA-256 list in </w:t>
      </w:r>
      <w:r>
        <w:rPr>
          <w:rFonts w:ascii="Consolas" w:hAnsi="Consolas"/>
        </w:rPr>
        <w:t>MANIFEST_sha256.csv</w:t>
      </w:r>
      <w:r>
        <w:t xml:space="preserve"> — is deposited and openly available at </w:t>
      </w:r>
      <w:r>
        <w:rPr>
          <w:b/>
        </w:rPr>
        <w:t>https://github.com/YBP2005/P2.git</w:t>
      </w:r>
      <w:r>
        <w:t xml:space="preserve"> (accessed 2026-09-29).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