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>single citation convention is `reported = 10–11 of 19 ≈ 63–65 %` on the decidable rows, with the printed-layer numbers (12–14/19) and the upper bound (≤14/19) scoped to their own columns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>) are an order of magnitude beyond it.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With `test_gated` excluded</w:t>
      </w:r>
      <w:r>
        <w:rPr>
          <w:color w:val="444444"/>
          <w:sz w:val="20"/>
        </w:rPr>
        <w:t xml:space="preserve"> (the table’s rule): release-layer </w:t>
      </w:r>
      <w:r>
        <w:rPr>
          <w:b/>
          <w:color w:val="444444"/>
          <w:sz w:val="20"/>
        </w:rPr>
        <w:t>9/19 ≈ 47.4 %</w:t>
      </w:r>
      <w:r>
        <w:rPr>
          <w:color w:val="444444"/>
          <w:sz w:val="20"/>
        </w:rPr>
        <w:t xml:space="preserve"> vs </w:t>
      </w:r>
      <w:r>
        <w:rPr>
          <w:b/>
          <w:color w:val="444444"/>
          <w:sz w:val="20"/>
        </w:rPr>
        <w:t>14/19</w:t>
      </w:r>
      <w:r>
        <w:rPr>
          <w:color w:val="444444"/>
          <w:sz w:val="20"/>
        </w:rPr>
        <w:t xml:space="preserve"> with them in.</w:t>
      </w:r>
    </w:p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</w:t>
      </w:r>
      <w:r>
        <w:rPr>
          <w:b/>
        </w:rPr>
        <w:t>an independent blind panel reproduces only 31.4 % of the printed marks (42.2 % on the finer scale), so a 19-row count of 10–11 carries a band of roughly ±3–4 cells</w:t>
      </w:r>
      <w:r>
        <w:t xml:space="preserve"> — the </w:t>
      </w:r>
      <w:r>
        <w:rPr>
          <w:i/>
        </w:rPr>
        <w:t>direction</w:t>
      </w:r>
      <w:r>
        <w:t xml:space="preserve"> of the majority survives on the decidable rows (10–11 of 16–17), </w:t>
      </w:r>
      <w:r>
        <w:rPr>
          <w:b/>
        </w:rPr>
        <w:t>its size does not</w:t>
      </w:r>
      <w:r>
        <w:t xml:space="preserve"> (</w:t>
      </w:r>
      <w:r>
        <w:rPr>
          <w:b/>
        </w:rPr>
        <w:t>Supplementary S27</w:t>
      </w:r>
      <w:r>
        <w:t xml:space="preserve">);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(the difference form is reported but </w:t>
      </w:r>
      <w:r>
        <w:rPr>
          <w:b/>
        </w:rPr>
        <w:t>not</w:t>
      </w:r>
      <w:r>
        <w:t xml:space="preserve"> co-primary — a pp difference is not scale-free here)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Recomputed</w:t>
            </w:r>
            <w:r>
              <w:rPr>
                <w:sz w:val="18"/>
              </w:rPr>
              <w:t>; it now reproduces M3’s printed value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Stated in §7.3</w:t>
            </w:r>
            <w:r>
              <w:rPr>
                <w:sz w:val="18"/>
              </w:rPr>
              <w:t>, with its consequence for the conflicting-endpoint cells.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archive.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Repaired</w:t>
            </w:r>
            <w:r>
              <w:rPr>
                <w:sz w:val="18"/>
              </w:rPr>
              <w:t>: the pod is gone from the released paths, and the analyses run from the archive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do so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 xml:space="preserve">; the script and the values it reads are released, and the components it cannot reconstruct are named in </w:t>
            </w:r>
            <w:r>
              <w:rPr>
                <w:b/>
                <w:sz w:val="18"/>
              </w:rPr>
              <w:t>§S14.5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 xml:space="preserve">at full training budget on the same corpus the pooled rate rises to +99.2 % (95 % interval [+80.4 %, +122.0 %]), above the pre-registered band. The registered second-corpus reproduction (§8.9) lands *inside* that band (+1.44 %, interval covering zero), so the out-of-band result is </w:t>
      </w:r>
      <w:r>
        <w:t>not</w:t>
      </w:r>
      <w:r>
        <w:rPr>
          <w:b/>
        </w:rPr>
        <w:t xml:space="preserve"> reproduced and we do </w:t>
      </w:r>
      <w:r>
        <w:t>not</w:t>
      </w:r>
      <w:r>
        <w:rPr>
          <w:b/>
        </w:rPr>
        <w:t xml:space="preserve"> read the loss as a small-sample artefact. Intervals quoted here are run-level and are not compared with the cell-level ones (§8.9, Table S47).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