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and report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two arms' relative difference on </w:t>
      </w:r>
      <w:r>
        <w:rPr>
          <w:rFonts w:ascii="Consolas" w:hAnsi="Consolas"/>
        </w:rPr>
        <w:t>val</w:t>
      </w:r>
      <w:r>
        <w:t xml:space="preserve"> against the same difference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cells, not on the scan.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slight-to-fair agreement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