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r>
              <w:rPr>
                <w:sz w:val="18"/>
              </w:rPr>
              <w:t xml:space="preserve">. </w:t>
            </w:r>
            <w:r>
              <w:rPr>
                <w:b/>
                <w:sz w:val="18"/>
              </w:rPr>
              <w:t>Pool composition is an assumption, not a constant</w:t>
            </w:r>
            <w:r>
              <w:rPr>
                <w:sz w:val="18"/>
              </w:rPr>
              <w:t xml:space="preserve">: §S33 (E = 100 only) and §S35 (six cells) report the </w:t>
            </w:r>
            <w:r>
              <w:rPr>
                <w:b/>
                <w:sz w:val="18"/>
              </w:rPr>
              <w:t>same statistic under a different pool</w:t>
            </w:r>
            <w:r>
              <w:rPr>
                <w:sz w:val="18"/>
              </w:rPr>
              <w:t>, and each names its pool in its own heading</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Pr>
        <w:ind w:left="432"/>
      </w:pPr>
      <w:r>
        <w:rPr>
          <w:b/>
          <w:color w:val="444444"/>
          <w:sz w:val="20"/>
        </w:rPr>
        <w:t>Frozen-block corrections (2026-10-13).</w:t>
      </w:r>
      <w:r>
        <w:rPr>
          <w:color w:val="444444"/>
          <w:sz w:val="20"/>
        </w:rPr>
        <w:t xml:space="preserve"> Two blocks previously published as byte-frozen carry </w:t>
      </w:r>
      <w:r>
        <w:rPr>
          <w:b/>
          <w:color w:val="444444"/>
          <w:sz w:val="20"/>
        </w:rPr>
        <w:t>dated in-place corrections</w:t>
      </w:r>
      <w:r>
        <w:rPr>
          <w:color w:val="444444"/>
          <w:sz w:val="20"/>
        </w:rPr>
        <w:t xml:space="preserve"> this revision: §S1’s four-unit heading (it said "three" while the table lists four) and §S4’s </w:t>
      </w:r>
      <w:r>
        <w:rPr>
          <w:rFonts w:ascii="Consolas" w:hAnsi="Consolas"/>
          <w:color w:val="444444"/>
          <w:sz w:val="20"/>
        </w:rPr>
        <w:t>−0.157</w:t>
      </w:r>
      <w:r>
        <w:rPr>
          <w:color w:val="444444"/>
          <w:sz w:val="20"/>
        </w:rPr>
        <w:t xml:space="preserve"> / </w:t>
      </w:r>
      <w:r>
        <w:rPr>
          <w:rFonts w:ascii="Consolas" w:hAnsi="Consolas"/>
          <w:color w:val="444444"/>
          <w:sz w:val="20"/>
        </w:rPr>
        <w:t>23.3 %</w:t>
      </w:r>
      <w:r>
        <w:rPr>
          <w:color w:val="444444"/>
          <w:sz w:val="20"/>
        </w:rPr>
        <w:t xml:space="preserve"> (they are </w:t>
      </w:r>
      <w:r>
        <w:rPr>
          <w:rFonts w:ascii="Consolas" w:hAnsi="Consolas"/>
          <w:color w:val="444444"/>
          <w:sz w:val="20"/>
        </w:rPr>
        <w:t>−0.158</w:t>
      </w:r>
      <w:r>
        <w:rPr>
          <w:color w:val="444444"/>
          <w:sz w:val="20"/>
        </w:rPr>
        <w:t xml:space="preserve"> / </w:t>
      </w:r>
      <w:r>
        <w:rPr>
          <w:rFonts w:ascii="Consolas" w:hAnsi="Consolas"/>
          <w:color w:val="444444"/>
          <w:sz w:val="20"/>
        </w:rPr>
        <w:t>23.1 %</w:t>
      </w:r>
      <w:r>
        <w:rPr>
          <w:color w:val="444444"/>
          <w:sz w:val="20"/>
        </w:rPr>
        <w:t xml:space="preserve">). The hashes printed above are therefore </w:t>
      </w:r>
      <w:r>
        <w:rPr>
          <w:b/>
          <w:color w:val="444444"/>
          <w:sz w:val="20"/>
        </w:rPr>
        <w:t>superseded for those two blocks</w:t>
      </w:r>
      <w:r>
        <w:rPr>
          <w:color w:val="444444"/>
          <w:sz w:val="20"/>
        </w:rPr>
        <w:t xml:space="preserve">; the corrected text is authoritative, each change carries its date in place, and a verifier re-hashing the sources should treat the dated corrections as part of the recorded text rather than as a mismatch. The alternative the paper itself prescribed — record outside the block and leave the body wrong — was rejected because an internal version-control contract is not a reason a reader should accept a known inconsistency. Corrected-block md5: </w:t>
      </w:r>
      <w:r>
        <w:rPr>
          <w:rFonts w:ascii="Consolas" w:hAnsi="Consolas"/>
          <w:color w:val="444444"/>
          <w:sz w:val="20"/>
        </w:rPr>
        <w:t>d1c577801ffa556a88088843729b1726</w:t>
      </w:r>
      <w:r>
        <w:rPr>
          <w:color w:val="444444"/>
          <w:sz w:val="20"/>
        </w:rPr>
        <w:t xml:space="preserve"> (four-unit heading block).</w:t>
      </w:r>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xml:space="preserve">## The four units (the main text must state which one it uses)  </w:t>
        <w:br/>
        <w:t xml:space="preserve">&lt;sub&gt;(corrected in place on 2026-10-13: the heading said "three" while the table beneath lists </w:t>
      </w:r>
      <w:r>
        <w:rPr>
          <w:rFonts w:ascii="Consolas" w:hAnsi="Consolas"/>
          <w:b/>
        </w:rPr>
        <w:t>four</w:t>
      </w:r>
      <w:r>
        <w:rPr>
          <w:rFonts w:ascii="Consolas" w:hAnsi="Consolas"/>
        </w:rPr>
        <w:t>. The frozen-block note that recorded this but left it unfixed is superseded — an internal version-control contract is not a reason a reader should accept a known inconsistency.)&lt;/sub&gt;</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w:t>
      </w:r>
      <w:r>
        <w:rPr>
          <w:rFonts w:ascii="Consolas" w:hAnsi="Consolas"/>
          <w:b/>
        </w:rPr>
        <w:t>−0.158</w:t>
      </w:r>
      <w:r>
        <w:rPr>
          <w:rFonts w:ascii="Consolas" w:hAnsi="Consolas"/>
        </w:rPr>
        <w:t xml:space="preserve">; an earlier note in this block printed −0.157 — same cell, last-digit rounding — </w:t>
      </w:r>
      <w:r>
        <w:rPr>
          <w:rFonts w:ascii="Consolas" w:hAnsi="Consolas"/>
          <w:b/>
        </w:rPr>
        <w:t>corrected in place on 2026-10-13</w:t>
      </w:r>
      <w:r>
        <w:rPr>
          <w:rFonts w:ascii="Consolas" w:hAnsi="Consolas"/>
        </w:rPr>
        <w:t>)</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Two index spaces, stated once.</w:t>
      </w:r>
      <w:r>
        <w:rPr>
          <w:color w:val="444444"/>
          <w:sz w:val="20"/>
        </w:rPr>
        <w:t xml:space="preserve"> </w:t>
      </w:r>
      <w:r>
        <w:rPr>
          <w:rFonts w:ascii="Consolas" w:hAnsi="Consolas"/>
          <w:color w:val="444444"/>
          <w:sz w:val="20"/>
        </w:rPr>
        <w:t>§S&lt;n&gt;</w:t>
      </w:r>
      <w:r>
        <w:rPr>
          <w:color w:val="444444"/>
          <w:sz w:val="20"/>
        </w:rPr>
        <w:t xml:space="preserve"> names a </w:t>
      </w:r>
      <w:r>
        <w:rPr>
          <w:b/>
          <w:color w:val="444444"/>
          <w:sz w:val="20"/>
        </w:rPr>
        <w:t>section</w:t>
      </w:r>
      <w:r>
        <w:rPr>
          <w:color w:val="444444"/>
          <w:sz w:val="20"/>
        </w:rPr>
        <w:t xml:space="preserve"> and </w:t>
      </w:r>
      <w:r>
        <w:rPr>
          <w:rFonts w:ascii="Consolas" w:hAnsi="Consolas"/>
          <w:color w:val="444444"/>
          <w:sz w:val="20"/>
        </w:rPr>
        <w:t>Table S&lt;n&gt;</w:t>
      </w:r>
      <w:r>
        <w:rPr>
          <w:color w:val="444444"/>
          <w:sz w:val="20"/>
        </w:rPr>
        <w:t xml:space="preserve"> names a </w:t>
      </w:r>
      <w:r>
        <w:rPr>
          <w:b/>
          <w:color w:val="444444"/>
          <w:sz w:val="20"/>
        </w:rPr>
        <w:t>table</w:t>
      </w:r>
      <w:r>
        <w:rPr>
          <w:color w:val="444444"/>
          <w:sz w:val="20"/>
        </w:rPr>
        <w:t xml:space="preserve">; the two spaces are </w:t>
      </w:r>
      <w:r>
        <w:rPr>
          <w:b/>
          <w:color w:val="444444"/>
          <w:sz w:val="20"/>
        </w:rPr>
        <w:t>independent</w:t>
      </w:r>
      <w:r>
        <w:rPr>
          <w:color w:val="444444"/>
          <w:sz w:val="20"/>
        </w:rPr>
        <w:t xml:space="preserve"> (a section and a table may share a number). Every reference here uses the explicit prefix, and both spaces are listed separately in the index above.</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 (**the n = 3 scan**)</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 (**the n = 10 re-read; its columns are not S38’s**)</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pPr>
        <w:ind w:left="432"/>
      </w:pPr>
      <w:r>
        <w:rPr>
          <w:b/>
          <w:color w:val="444444"/>
          <w:sz w:val="20"/>
        </w:rPr>
        <w:t>Primary reading for G3.</w:t>
      </w:r>
      <w:r>
        <w:rPr>
          <w:color w:val="444444"/>
          <w:sz w:val="20"/>
        </w:rPr>
        <w:t xml:space="preserve"> The </w:t>
      </w:r>
      <w:r>
        <w:rPr>
          <w:b/>
          <w:color w:val="444444"/>
          <w:sz w:val="20"/>
        </w:rPr>
        <w:t>pre-registered criterion is primary</w:t>
      </w:r>
      <w:r>
        <w:rPr>
          <w:color w:val="444444"/>
          <w:sz w:val="20"/>
        </w:rPr>
        <w:t xml:space="preserve">: on the with-early-stopping series C1 is </w:t>
      </w:r>
      <w:r>
        <w:rPr>
          <w:b/>
          <w:color w:val="444444"/>
          <w:sz w:val="20"/>
        </w:rPr>
        <w:t>not met</w:t>
      </w:r>
      <w:r>
        <w:rPr>
          <w:color w:val="444444"/>
          <w:sz w:val="20"/>
        </w:rPr>
        <w:t xml:space="preserve"> and C2 is not rejected. The six-full-run series (§13.2b) is a </w:t>
      </w:r>
      <w:r>
        <w:rPr>
          <w:b/>
          <w:color w:val="444444"/>
          <w:sz w:val="20"/>
        </w:rPr>
        <w:t>sensitivity</w:t>
      </w:r>
      <w:r>
        <w:rPr>
          <w:color w:val="444444"/>
          <w:sz w:val="20"/>
        </w:rPr>
        <w:t xml:space="preserve">, not the primary; Table S37’s verdict column carries the </w:t>
      </w:r>
      <w:r>
        <w:rPr>
          <w:b/>
          <w:color w:val="444444"/>
          <w:sz w:val="20"/>
        </w:rPr>
        <w:t>pre-registered</w:t>
      </w:r>
      <w:r>
        <w:rPr>
          <w:color w:val="444444"/>
          <w:sz w:val="20"/>
        </w:rPr>
        <w:t xml:space="preserve"> reading.</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w:t>
      </w:r>
      <w:r>
        <w:rPr>
          <w:b/>
          <w:color w:val="444444"/>
          <w:sz w:val="20"/>
        </w:rPr>
        <w:t xml:space="preserve"> — the A and B machines compared pairwise and found to show </w:t>
      </w:r>
      <w:r>
        <w:rPr>
          <w:color w:val="444444"/>
          <w:sz w:val="20"/>
        </w:rPr>
        <w:t>no host effect in the pairs we could compare** (the calibration record is not in this package).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 xml:space="preserve">-side member of the winner's-curse family of Proposition 4. </w:t>
      </w:r>
      <w:r>
        <w:rPr>
          <w:b/>
        </w:rPr>
        <w:t>Assumption stated up front:</w:t>
      </w:r>
      <w:r>
        <w:t xml:space="preserve"> the step below uses that the selection maximises </w:t>
      </w:r>
      <w:r>
        <w:rPr>
          <w:rFonts w:ascii="Consolas" w:hAnsi="Consolas"/>
          <w:sz w:val="19"/>
        </w:rPr>
        <w:t>v + ε</w:t>
      </w:r>
      <w:r>
        <w:t xml:space="preserve">, not </w:t>
      </w:r>
      <w:r>
        <w:rPr>
          <w:rFonts w:ascii="Consolas" w:hAnsi="Consolas"/>
          <w:sz w:val="19"/>
        </w:rPr>
        <w:t>v</w:t>
      </w:r>
      <w:r>
        <w:t xml:space="preserve"> alone; without it </w:t>
      </w:r>
      <w:r>
        <w:rPr>
          <w:rFonts w:ascii="Consolas" w:hAnsi="Consolas"/>
          <w:sz w:val="19"/>
        </w:rPr>
        <w:t>E[v(ê)] ≥ v(e_f)</w:t>
      </w:r>
      <w:r>
        <w:t xml:space="preserve"> does not follow — and the paper’s own two design checks are </w:t>
      </w:r>
      <w:r>
        <w:rPr>
          <w:b/>
        </w:rPr>
        <w:t>negative</w:t>
      </w:r>
      <w:r>
        <w:t xml:space="preserve"> (C4: WC &lt; 0 in all 16 readings, mean −0.616 pp; G1′: WC = −0.069, p = 0.83), so we report the inequality </w:t>
      </w:r>
      <w:r>
        <w:rPr>
          <w:b/>
        </w:rPr>
        <w:t>under that assumption</w:t>
      </w:r>
      <w:r>
        <w:t xml:space="preserve"> and do not call the direction robust without it.</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compared pairwise and found to show </w:t>
      </w:r>
      <w:r>
        <w:rPr>
          <w:b/>
        </w:rPr>
        <w:t>no host effect in the pairs we could compare</w:t>
      </w:r>
      <w:r>
        <w:t xml:space="preserve"> (the calibration record is not in this package)).</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 xml:space="preserve">not a confound — repeated calibration of the A and B machines found them equivalent, so no cross-host term </w:t>
      </w:r>
      <w:r>
        <w:rPr>
          <w:b/>
        </w:rPr>
        <w:t>beyond the pairs compared</w:t>
      </w:r>
      <w:r>
        <w:t xml:space="preserve">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b/>
          <w:color w:val="444444"/>
          <w:sz w:val="20"/>
        </w:rPr>
        <w:t xml:space="preserve">a band set by seeds and data order, not by hosts, since the A and B machines compared pairwise and found to show </w:t>
      </w:r>
      <w:r>
        <w:rPr>
          <w:color w:val="444444"/>
          <w:sz w:val="20"/>
        </w:rPr>
        <w:t>no host effect in the pairs we could compare** (the calibration record is not in this package)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ind w:left="432"/>
      </w:pPr>
      <w:r>
        <w:rPr>
          <w:b/>
          <w:color w:val="444444"/>
          <w:sz w:val="20"/>
        </w:rPr>
        <w:t>How much this actually moves a number (2026-10-13).</w:t>
      </w:r>
      <w:r>
        <w:rPr>
          <w:color w:val="444444"/>
          <w:sz w:val="20"/>
        </w:rPr>
        <w:t xml:space="preserve"> Three things, in order of what we can attribute. </w:t>
      </w:r>
      <w:r>
        <w:rPr>
          <w:b/>
          <w:color w:val="444444"/>
          <w:sz w:val="20"/>
        </w:rPr>
        <w:t>(i) The switch is rare and transient</w:t>
      </w:r>
      <w:r>
        <w:rPr>
          <w:color w:val="444444"/>
          <w:sz w:val="20"/>
        </w:rPr>
        <w:t xml:space="preserve">: the fingerprint appears in one cell’s logs (92 events), the run continues on the CPU fallback and </w:t>
      </w:r>
      <w:r>
        <w:rPr>
          <w:b/>
          <w:color w:val="444444"/>
          <w:sz w:val="20"/>
        </w:rPr>
        <w:t>completes</w:t>
      </w:r>
      <w:r>
        <w:rPr>
          <w:color w:val="444444"/>
          <w:sz w:val="20"/>
        </w:rPr>
        <w:t xml:space="preserve"> — not a restart, no lost epoch. </w:t>
      </w:r>
      <w:r>
        <w:rPr>
          <w:b/>
          <w:color w:val="444444"/>
          <w:sz w:val="20"/>
        </w:rPr>
        <w:t>(ii) Where the grid was re-run under ample VRAM the readings agree to ≤ 0.05 pp</w:t>
      </w:r>
      <w:r>
        <w:rPr>
          <w:color w:val="444444"/>
          <w:sz w:val="20"/>
        </w:rPr>
        <w:t xml:space="preserve"> (Table S41). </w:t>
      </w:r>
      <w:r>
        <w:rPr>
          <w:b/>
          <w:color w:val="444444"/>
          <w:sz w:val="20"/>
        </w:rPr>
        <w:t>(iii) The one number most often *misread* as an OOM effect is not one</w:t>
      </w:r>
      <w:r>
        <w:rPr>
          <w:color w:val="444444"/>
          <w:sz w:val="20"/>
        </w:rPr>
        <w:t xml:space="preserve">: the archive-versus-re-run differences sit at </w:t>
      </w:r>
      <w:r>
        <w:rPr>
          <w:b/>
          <w:color w:val="444444"/>
          <w:sz w:val="20"/>
        </w:rPr>
        <w:t>≈ 0.44 pp</w:t>
      </w:r>
      <w:r>
        <w:rPr>
          <w:color w:val="444444"/>
          <w:sz w:val="20"/>
        </w:rPr>
        <w:t xml:space="preserve">, which is </w:t>
      </w:r>
      <w:r>
        <w:rPr>
          <w:b/>
          <w:color w:val="444444"/>
          <w:sz w:val="20"/>
        </w:rPr>
        <w:t>below this paper’s own measured same-configuration data-order spread of 0.515 pp</w:t>
      </w:r>
      <w:r>
        <w:rPr>
          <w:color w:val="444444"/>
          <w:sz w:val="20"/>
        </w:rPr>
        <w:t xml:space="preserve"> (§8.4) — i.e. it is the </w:t>
      </w:r>
      <w:r>
        <w:rPr>
          <w:b/>
          <w:color w:val="444444"/>
          <w:sz w:val="20"/>
        </w:rPr>
        <w:t>ordinary replication noise the design is already about</w:t>
      </w:r>
      <w:r>
        <w:rPr>
          <w:color w:val="444444"/>
          <w:sz w:val="20"/>
        </w:rPr>
        <w:t xml:space="preserve">, not a drift and not a memory-path effect. Where a residual between-host difference remains, the mechanism is the familiar one that </w:t>
      </w:r>
      <w:r>
        <w:rPr>
          <w:b/>
          <w:color w:val="444444"/>
          <w:sz w:val="20"/>
        </w:rPr>
        <w:t>no configuration file records on any framework</w:t>
      </w:r>
      <w:r>
        <w:rPr>
          <w:color w:val="444444"/>
          <w:sz w:val="20"/>
        </w:rPr>
        <w:t xml:space="preserve">: CUDA/cuDNN kernel and reduction-order differences plus GPU non-determinism (atomic accumulation in the assigner and the NMS). </w:t>
      </w:r>
      <w:r>
        <w:rPr>
          <w:b/>
          <w:color w:val="444444"/>
          <w:sz w:val="20"/>
        </w:rPr>
        <w:t>Disposition:</w:t>
      </w:r>
      <w:r>
        <w:rPr>
          <w:color w:val="444444"/>
          <w:sz w:val="20"/>
        </w:rPr>
        <w:t xml:space="preserve"> the archive is </w:t>
      </w:r>
      <w:r>
        <w:rPr>
          <w:b/>
          <w:color w:val="444444"/>
          <w:sz w:val="20"/>
        </w:rPr>
        <w:t>usable as printed</w:t>
      </w:r>
      <w:r>
        <w:rPr>
          <w:color w:val="444444"/>
          <w:sz w:val="20"/>
        </w:rPr>
        <w:t xml:space="preserve">, the caveat is named once, and </w:t>
      </w:r>
      <w:r>
        <w:rPr>
          <w:b/>
          <w:color w:val="444444"/>
          <w:sz w:val="20"/>
        </w:rPr>
        <w:t>we are not re-training to chase it</w:t>
      </w:r>
      <w:r>
        <w:rPr>
          <w:color w:val="444444"/>
          <w:sz w:val="20"/>
        </w:rPr>
        <w:t xml:space="preserve"> — read the flagged cells at the same precision as any other cell here, ±0.5 pp at one run.</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b/>
          <w:color w:val="444444"/>
          <w:sz w:val="20"/>
        </w:rPr>
        <w:t>Reading the numbers in this section.</w:t>
      </w:r>
      <w:r>
        <w:rPr>
          <w:color w:val="444444"/>
          <w:sz w:val="20"/>
        </w:rPr>
        <w:t xml:space="preserve"> The citation numbers below are the ones </w:t>
      </w:r>
      <w:r>
        <w:rPr>
          <w:b/>
          <w:color w:val="444444"/>
          <w:sz w:val="20"/>
        </w:rPr>
        <w:t>this section carried before it was relocated</w:t>
      </w:r>
      <w:r>
        <w:rPr>
          <w:color w:val="444444"/>
          <w:sz w:val="20"/>
        </w:rPr>
        <w:t xml:space="preserve">. The article’s reference list is numbered by </w:t>
      </w:r>
      <w:r>
        <w:rPr>
          <w:b/>
          <w:color w:val="444444"/>
          <w:sz w:val="20"/>
        </w:rPr>
        <w:t>first appearance</w:t>
      </w:r>
      <w:r>
        <w:rPr>
          <w:color w:val="444444"/>
          <w:sz w:val="20"/>
        </w:rPr>
        <w:t xml:space="preserve">, so the two differ; </w:t>
      </w:r>
      <w:r>
        <w:rPr>
          <w:b/>
          <w:color w:val="444444"/>
          <w:sz w:val="20"/>
        </w:rPr>
        <w:t>read the author names, not the numbers</w:t>
      </w:r>
      <w:r>
        <w:rPr>
          <w:color w:val="444444"/>
          <w:sz w:val="20"/>
        </w:rPr>
        <w:t>, when matching this section to the current list.</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pPr>
        <w:ind w:left="432"/>
      </w:pPr>
      <w:r>
        <w:rPr>
          <w:b/>
          <w:color w:val="444444"/>
          <w:sz w:val="20"/>
        </w:rPr>
        <w:t>Row 1 entry point.</w:t>
      </w:r>
      <w:r>
        <w:rPr>
          <w:color w:val="444444"/>
          <w:sz w:val="20"/>
        </w:rPr>
        <w:t xml:space="preserve"> Table 4's headline is reproduced from the released per-run files: </w:t>
      </w:r>
      <w:r>
        <w:rPr>
          <w:rFonts w:ascii="Consolas" w:hAnsi="Consolas"/>
          <w:color w:val="444444"/>
          <w:sz w:val="20"/>
        </w:rPr>
        <w:t>P2_e1full_per_run.csv</w:t>
      </w:r>
      <w:r>
        <w:rPr>
          <w:color w:val="444444"/>
          <w:sz w:val="20"/>
        </w:rPr>
        <w:t xml:space="preserve"> (the full-budget corridor) and </w:t>
      </w:r>
      <w:r>
        <w:rPr>
          <w:rFonts w:ascii="Consolas" w:hAnsi="Consolas"/>
          <w:color w:val="444444"/>
          <w:sz w:val="20"/>
        </w:rPr>
        <w:t>release_selection-transfer_perseed.csv</w:t>
      </w:r>
      <w:r>
        <w:rPr>
          <w:color w:val="444444"/>
          <w:sz w:val="20"/>
        </w:rPr>
        <w:t xml:space="preserve"> (the per-seed arm contrast), both in </w:t>
      </w:r>
      <w:r>
        <w:rPr>
          <w:rFonts w:ascii="Consolas" w:hAnsi="Consolas"/>
          <w:color w:val="444444"/>
          <w:sz w:val="20"/>
        </w:rPr>
        <w:t>02_release_data/</w:t>
      </w:r>
      <w:r>
        <w:rPr>
          <w:color w:val="444444"/>
          <w:sz w:val="20"/>
        </w:rPr>
        <w:t xml:space="preserve">, with </w:t>
      </w:r>
      <w:r>
        <w:rPr>
          <w:rFonts w:ascii="Consolas" w:hAnsi="Consolas"/>
          <w:color w:val="444444"/>
          <w:sz w:val="20"/>
        </w:rPr>
        <w:t>SHA256SUMS.txt</w:t>
      </w:r>
      <w:r>
        <w:rPr>
          <w:color w:val="444444"/>
          <w:sz w:val="20"/>
        </w:rPr>
        <w:t xml:space="preserve"> beside them.</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23.1 % (corrected in place on 2026-10-13; the five rows self-average to 23.1)</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four units (the main text must state which one it uses)</w:t>
      </w:r>
      <w:r>
        <w:t xml:space="preserve"> — </w:t>
      </w:r>
      <w:r>
        <w:rPr>
          <w:b/>
        </w:rPr>
        <w:t>fixed in place on 2026-10-13</w:t>
      </w:r>
      <w:r>
        <w:t xml:space="preserve"> (it previously read "three" while the table beneath lists </w:t>
      </w:r>
      <w:r>
        <w:rPr>
          <w:b/>
        </w:rPr>
        <w:t>four</w:t>
      </w:r>
      <w:r>
        <w:t>):</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computed for this revision: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one symbol per quantity.</w:t>
      </w:r>
      <w:r>
        <w:rPr>
          <w:color w:val="444444"/>
          <w:sz w:val="20"/>
        </w:rPr>
        <w:t xml:space="preserve"> This column is </w:t>
      </w:r>
      <w:r>
        <w:rPr>
          <w:b/>
          <w:color w:val="444444"/>
          <w:sz w:val="20"/>
        </w:rPr>
        <w:t>named `Δprem(seed)`</w:t>
      </w:r>
      <w:r>
        <w:rPr>
          <w:color w:val="444444"/>
          <w:sz w:val="20"/>
        </w:rPr>
        <w:t xml:space="preserve"> and is </w:t>
      </w:r>
      <w:r>
        <w:rPr>
          <w:b/>
          <w:color w:val="444444"/>
          <w:sz w:val="20"/>
        </w:rPr>
        <w:t>not</w:t>
      </w:r>
      <w:r>
        <w:rPr>
          <w:color w:val="444444"/>
          <w:sz w:val="20"/>
        </w:rPr>
        <w:t xml:space="preserve"> Table 2's Δgap: Table 2's Δgap is the </w:t>
      </w:r>
      <w:r>
        <w:rPr>
          <w:b/>
          <w:color w:val="444444"/>
          <w:sz w:val="20"/>
        </w:rPr>
        <w:t>arm difference of the val-vs-test gaps</w:t>
      </w:r>
      <w:r>
        <w:rPr>
          <w:color w:val="444444"/>
          <w:sz w:val="20"/>
        </w:rPr>
        <w:t xml:space="preserve">, while </w:t>
      </w:r>
      <w:r>
        <w:rPr>
          <w:rFonts w:ascii="Consolas" w:hAnsi="Consolas"/>
          <w:color w:val="444444"/>
          <w:sz w:val="20"/>
        </w:rPr>
        <w:t>Δprem(seed) = prem(strategy) − prem(baseline)</w:t>
      </w:r>
      <w:r>
        <w:rPr>
          <w:color w:val="444444"/>
          <w:sz w:val="20"/>
        </w:rPr>
        <w:t xml:space="preserve"> for that seed. It is the </w:t>
      </w:r>
      <w:r>
        <w:rPr>
          <w:b/>
          <w:color w:val="444444"/>
          <w:sz w:val="20"/>
        </w:rPr>
        <w:t>within-seed arm contrast</w:t>
      </w:r>
    </w:p>
    <w:p>
      <w:pPr>
        <w:ind w:left="432"/>
      </w:pPr>
      <w:r>
        <w:rPr>
          <w:rFonts w:ascii="Consolas" w:hAnsi="Consolas"/>
          <w:color w:val="444444"/>
          <w:sz w:val="20"/>
        </w:rPr>
        <w:t>Δprem(seed)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 xml:space="preserve">0.779 − 1.481 = −0.702 (the **1.481** is </w:t>
      </w:r>
      <w:r>
        <w:rPr>
          <w:color w:val="444444"/>
          <w:sz w:val="20"/>
        </w:rPr>
        <w:t>aitod20</w:t>
      </w:r>
      <w:r>
        <w:rPr>
          <w:rFonts w:ascii="Consolas" w:hAnsi="Consolas"/>
          <w:color w:val="444444"/>
          <w:sz w:val="20"/>
        </w:rPr>
        <w:t>’s Δgap as printed in Table S8)</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+0.6376</w:t>
            </w:r>
          </w:p>
        </w:tc>
        <w:tc>
          <w:tcPr>
            <w:tcW w:type="dxa" w:w="1234"/>
          </w:tcPr>
          <w:p>
            <w:r>
              <w:rPr>
                <w:sz w:val="18"/>
              </w:rPr>
              <w:t>0.6157</w:t>
            </w:r>
          </w:p>
        </w:tc>
        <w:tc>
          <w:tcPr>
            <w:tcW w:type="dxa" w:w="1234"/>
          </w:tcPr>
          <w:p>
            <w:r>
              <w:rPr>
                <w:sz w:val="18"/>
              </w:rPr>
              <w:t>+1.7937</w:t>
            </w:r>
          </w:p>
        </w:tc>
        <w:tc>
          <w:tcPr>
            <w:tcW w:type="dxa" w:w="1234"/>
          </w:tcPr>
          <w:p>
            <w:r>
              <w:rPr>
                <w:sz w:val="18"/>
              </w:rPr>
              <w:t>0.07286</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+0.3657</w:t>
            </w:r>
          </w:p>
        </w:tc>
        <w:tc>
          <w:tcPr>
            <w:tcW w:type="dxa" w:w="1234"/>
          </w:tcPr>
          <w:p>
            <w:r>
              <w:rPr>
                <w:sz w:val="18"/>
              </w:rPr>
              <w:t>0.7405</w:t>
            </w:r>
          </w:p>
        </w:tc>
        <w:tc>
          <w:tcPr>
            <w:tcW w:type="dxa" w:w="1234"/>
          </w:tcPr>
          <w:p>
            <w:r>
              <w:rPr>
                <w:sz w:val="18"/>
              </w:rPr>
              <w:t>+0.9876</w:t>
            </w:r>
          </w:p>
        </w:tc>
        <w:tc>
          <w:tcPr>
            <w:tcW w:type="dxa" w:w="1234"/>
          </w:tcPr>
          <w:p>
            <w:r>
              <w:rPr>
                <w:sz w:val="18"/>
              </w:rPr>
              <w:t>0.32335</w:t>
            </w:r>
          </w:p>
        </w:tc>
        <w:tc>
          <w:tcPr>
            <w:tcW w:type="dxa" w:w="1234"/>
          </w:tcPr>
          <w:p>
            <w:r>
              <w:rPr>
                <w:b/>
                <w:sz w:val="18"/>
              </w:rPr>
              <w:t>0.5</w:t>
            </w:r>
          </w:p>
        </w:tc>
      </w:tr>
      <w:tr>
        <w:tc>
          <w:tcPr>
            <w:tcW w:type="dxa" w:w="1234"/>
          </w:tcPr>
          <w:p>
            <w:r>
              <w:rPr>
                <w:sz w:val="18"/>
              </w:rPr>
              <w:t>5</w:t>
            </w:r>
          </w:p>
        </w:tc>
        <w:tc>
          <w:tcPr>
            <w:tcW w:type="dxa" w:w="1234"/>
          </w:tcPr>
          <w:p>
            <w:r>
              <w:rPr>
                <w:sz w:val="18"/>
              </w:rPr>
              <w:t>42..46</w:t>
            </w:r>
          </w:p>
        </w:tc>
        <w:tc>
          <w:tcPr>
            <w:tcW w:type="dxa" w:w="1234"/>
          </w:tcPr>
          <w:p>
            <w:r>
              <w:rPr>
                <w:sz w:val="18"/>
              </w:rPr>
              <w:t>+0.3849</w:t>
            </w:r>
          </w:p>
        </w:tc>
        <w:tc>
          <w:tcPr>
            <w:tcW w:type="dxa" w:w="1234"/>
          </w:tcPr>
          <w:p>
            <w:r>
              <w:rPr>
                <w:sz w:val="18"/>
              </w:rPr>
              <w:t>0.6428</w:t>
            </w:r>
          </w:p>
        </w:tc>
        <w:tc>
          <w:tcPr>
            <w:tcW w:type="dxa" w:w="1234"/>
          </w:tcPr>
          <w:p>
            <w:r>
              <w:rPr>
                <w:sz w:val="18"/>
              </w:rPr>
              <w:t>+1.3389</w:t>
            </w:r>
          </w:p>
        </w:tc>
        <w:tc>
          <w:tcPr>
            <w:tcW w:type="dxa" w:w="1234"/>
          </w:tcPr>
          <w:p>
            <w:r>
              <w:rPr>
                <w:sz w:val="18"/>
              </w:rPr>
              <w:t>0.18061</w:t>
            </w:r>
          </w:p>
        </w:tc>
        <w:tc>
          <w:tcPr>
            <w:tcW w:type="dxa" w:w="1234"/>
          </w:tcPr>
          <w:p>
            <w:r>
              <w:rPr>
                <w:b/>
                <w:sz w:val="18"/>
              </w:rPr>
              <w:t>0.3125</w:t>
            </w:r>
          </w:p>
        </w:tc>
      </w:tr>
      <w:tr>
        <w:tc>
          <w:tcPr>
            <w:tcW w:type="dxa" w:w="1234"/>
          </w:tcPr>
          <w:p>
            <w:r>
              <w:rPr>
                <w:sz w:val="18"/>
              </w:rPr>
              <w:t>6</w:t>
            </w:r>
          </w:p>
        </w:tc>
        <w:tc>
          <w:tcPr>
            <w:tcW w:type="dxa" w:w="1234"/>
          </w:tcPr>
          <w:p>
            <w:r>
              <w:rPr>
                <w:sz w:val="18"/>
              </w:rPr>
              <w:t>42..47</w:t>
            </w:r>
          </w:p>
        </w:tc>
        <w:tc>
          <w:tcPr>
            <w:tcW w:type="dxa" w:w="1234"/>
          </w:tcPr>
          <w:p>
            <w:r>
              <w:rPr>
                <w:sz w:val="18"/>
              </w:rPr>
              <w:t>+0.2922</w:t>
            </w:r>
          </w:p>
        </w:tc>
        <w:tc>
          <w:tcPr>
            <w:tcW w:type="dxa" w:w="1234"/>
          </w:tcPr>
          <w:p>
            <w:r>
              <w:rPr>
                <w:sz w:val="18"/>
              </w:rPr>
              <w:t>0.6181</w:t>
            </w:r>
          </w:p>
        </w:tc>
        <w:tc>
          <w:tcPr>
            <w:tcW w:type="dxa" w:w="1234"/>
          </w:tcPr>
          <w:p>
            <w:r>
              <w:rPr>
                <w:sz w:val="18"/>
              </w:rPr>
              <w:t>+1.1578</w:t>
            </w:r>
          </w:p>
        </w:tc>
        <w:tc>
          <w:tcPr>
            <w:tcW w:type="dxa" w:w="1234"/>
          </w:tcPr>
          <w:p>
            <w:r>
              <w:rPr>
                <w:sz w:val="18"/>
              </w:rPr>
              <w:t>0.24694</w:t>
            </w:r>
          </w:p>
        </w:tc>
        <w:tc>
          <w:tcPr>
            <w:tcW w:type="dxa" w:w="1234"/>
          </w:tcPr>
          <w:p>
            <w:r>
              <w:rPr>
                <w:b/>
                <w:sz w:val="18"/>
              </w:rPr>
              <w:t>0.34375</w:t>
            </w:r>
          </w:p>
        </w:tc>
      </w:tr>
      <w:tr>
        <w:tc>
          <w:tcPr>
            <w:tcW w:type="dxa" w:w="1234"/>
          </w:tcPr>
          <w:p>
            <w:r>
              <w:rPr>
                <w:sz w:val="18"/>
              </w:rPr>
              <w:t>7</w:t>
            </w:r>
          </w:p>
        </w:tc>
        <w:tc>
          <w:tcPr>
            <w:tcW w:type="dxa" w:w="1234"/>
          </w:tcPr>
          <w:p>
            <w:r>
              <w:rPr>
                <w:sz w:val="18"/>
              </w:rPr>
              <w:t>42..48</w:t>
            </w:r>
          </w:p>
        </w:tc>
        <w:tc>
          <w:tcPr>
            <w:tcW w:type="dxa" w:w="1234"/>
          </w:tcPr>
          <w:p>
            <w:r>
              <w:rPr>
                <w:sz w:val="18"/>
              </w:rPr>
              <w:t>+0.3599</w:t>
            </w:r>
          </w:p>
        </w:tc>
        <w:tc>
          <w:tcPr>
            <w:tcW w:type="dxa" w:w="1234"/>
          </w:tcPr>
          <w:p>
            <w:r>
              <w:rPr>
                <w:sz w:val="18"/>
              </w:rPr>
              <w:t>0.5920</w:t>
            </w:r>
          </w:p>
        </w:tc>
        <w:tc>
          <w:tcPr>
            <w:tcW w:type="dxa" w:w="1234"/>
          </w:tcPr>
          <w:p>
            <w:r>
              <w:rPr>
                <w:sz w:val="18"/>
              </w:rPr>
              <w:t>+1.6084</w:t>
            </w:r>
          </w:p>
        </w:tc>
        <w:tc>
          <w:tcPr>
            <w:tcW w:type="dxa" w:w="1234"/>
          </w:tcPr>
          <w:p>
            <w:r>
              <w:rPr>
                <w:sz w:val="18"/>
              </w:rPr>
              <w:t>0.10775</w:t>
            </w:r>
          </w:p>
        </w:tc>
        <w:tc>
          <w:tcPr>
            <w:tcW w:type="dxa" w:w="1234"/>
          </w:tcPr>
          <w:p>
            <w:r>
              <w:rPr>
                <w:b/>
                <w:sz w:val="18"/>
              </w:rPr>
              <w:t>0.171875</w:t>
            </w:r>
          </w:p>
        </w:tc>
      </w:tr>
      <w:tr>
        <w:tc>
          <w:tcPr>
            <w:tcW w:type="dxa" w:w="1234"/>
          </w:tcPr>
          <w:p>
            <w:r>
              <w:rPr>
                <w:sz w:val="18"/>
              </w:rPr>
              <w:t>8</w:t>
            </w:r>
          </w:p>
        </w:tc>
        <w:tc>
          <w:tcPr>
            <w:tcW w:type="dxa" w:w="1234"/>
          </w:tcPr>
          <w:p>
            <w:r>
              <w:rPr>
                <w:sz w:val="18"/>
              </w:rPr>
              <w:t>42..49</w:t>
            </w:r>
          </w:p>
        </w:tc>
        <w:tc>
          <w:tcPr>
            <w:tcW w:type="dxa" w:w="1234"/>
          </w:tcPr>
          <w:p>
            <w:r>
              <w:rPr>
                <w:sz w:val="18"/>
              </w:rPr>
              <w:t>+0.3565</w:t>
            </w:r>
          </w:p>
        </w:tc>
        <w:tc>
          <w:tcPr>
            <w:tcW w:type="dxa" w:w="1234"/>
          </w:tcPr>
          <w:p>
            <w:r>
              <w:rPr>
                <w:sz w:val="18"/>
              </w:rPr>
              <w:t>0.5482</w:t>
            </w:r>
          </w:p>
        </w:tc>
        <w:tc>
          <w:tcPr>
            <w:tcW w:type="dxa" w:w="1234"/>
          </w:tcPr>
          <w:p>
            <w:r>
              <w:rPr>
                <w:sz w:val="18"/>
              </w:rPr>
              <w:t>+1.8392</w:t>
            </w:r>
          </w:p>
        </w:tc>
        <w:tc>
          <w:tcPr>
            <w:tcW w:type="dxa" w:w="1234"/>
          </w:tcPr>
          <w:p>
            <w:r>
              <w:rPr>
                <w:sz w:val="18"/>
              </w:rPr>
              <w:t>0.06589</w:t>
            </w:r>
          </w:p>
        </w:tc>
        <w:tc>
          <w:tcPr>
            <w:tcW w:type="dxa" w:w="1234"/>
          </w:tcPr>
          <w:p>
            <w:r>
              <w:rPr>
                <w:b/>
                <w:sz w:val="18"/>
              </w:rPr>
              <w:t>0.117188</w:t>
            </w:r>
          </w:p>
        </w:tc>
      </w:tr>
      <w:tr>
        <w:tc>
          <w:tcPr>
            <w:tcW w:type="dxa" w:w="1234"/>
          </w:tcPr>
          <w:p>
            <w:r>
              <w:rPr>
                <w:sz w:val="18"/>
              </w:rPr>
              <w:t>9</w:t>
            </w:r>
          </w:p>
        </w:tc>
        <w:tc>
          <w:tcPr>
            <w:tcW w:type="dxa" w:w="1234"/>
          </w:tcPr>
          <w:p>
            <w:r>
              <w:rPr>
                <w:sz w:val="18"/>
              </w:rPr>
              <w:t>42..50</w:t>
            </w:r>
          </w:p>
        </w:tc>
        <w:tc>
          <w:tcPr>
            <w:tcW w:type="dxa" w:w="1234"/>
          </w:tcPr>
          <w:p>
            <w:r>
              <w:rPr>
                <w:sz w:val="18"/>
              </w:rPr>
              <w:t>+0.3778</w:t>
            </w:r>
          </w:p>
        </w:tc>
        <w:tc>
          <w:tcPr>
            <w:tcW w:type="dxa" w:w="1234"/>
          </w:tcPr>
          <w:p>
            <w:r>
              <w:rPr>
                <w:sz w:val="18"/>
              </w:rPr>
              <w:t>0.5168</w:t>
            </w:r>
          </w:p>
        </w:tc>
        <w:tc>
          <w:tcPr>
            <w:tcW w:type="dxa" w:w="1234"/>
          </w:tcPr>
          <w:p>
            <w:r>
              <w:rPr>
                <w:sz w:val="18"/>
              </w:rPr>
              <w:t>+2.1932</w:t>
            </w:r>
          </w:p>
        </w:tc>
        <w:tc>
          <w:tcPr>
            <w:tcW w:type="dxa" w:w="1234"/>
          </w:tcPr>
          <w:p>
            <w:r>
              <w:rPr>
                <w:sz w:val="18"/>
              </w:rPr>
              <w:t>0.02829</w:t>
            </w:r>
          </w:p>
        </w:tc>
        <w:tc>
          <w:tcPr>
            <w:tcW w:type="dxa" w:w="1234"/>
          </w:tcPr>
          <w:p>
            <w:r>
              <w:rPr>
                <w:b/>
                <w:sz w:val="18"/>
              </w:rPr>
              <w:t>0.0664062</w:t>
            </w:r>
          </w:p>
        </w:tc>
      </w:tr>
      <w:tr>
        <w:tc>
          <w:tcPr>
            <w:tcW w:type="dxa" w:w="1234"/>
          </w:tcPr>
          <w:p>
            <w:r>
              <w:rPr>
                <w:sz w:val="18"/>
              </w:rPr>
              <w:t>10</w:t>
            </w:r>
          </w:p>
        </w:tc>
        <w:tc>
          <w:tcPr>
            <w:tcW w:type="dxa" w:w="1234"/>
          </w:tcPr>
          <w:p>
            <w:r>
              <w:rPr>
                <w:sz w:val="18"/>
              </w:rPr>
              <w:t>42..51</w:t>
            </w:r>
          </w:p>
        </w:tc>
        <w:tc>
          <w:tcPr>
            <w:tcW w:type="dxa" w:w="1234"/>
          </w:tcPr>
          <w:p>
            <w:r>
              <w:rPr>
                <w:sz w:val="18"/>
              </w:rPr>
              <w:t>+0.2335</w:t>
            </w:r>
          </w:p>
        </w:tc>
        <w:tc>
          <w:tcPr>
            <w:tcW w:type="dxa" w:w="1234"/>
          </w:tcPr>
          <w:p>
            <w:r>
              <w:rPr>
                <w:sz w:val="18"/>
              </w:rPr>
              <w:t>0.6674</w:t>
            </w:r>
          </w:p>
        </w:tc>
        <w:tc>
          <w:tcPr>
            <w:tcW w:type="dxa" w:w="1234"/>
          </w:tcPr>
          <w:p>
            <w:r>
              <w:rPr>
                <w:sz w:val="18"/>
              </w:rPr>
              <w:t>+1.1064</w:t>
            </w:r>
          </w:p>
        </w:tc>
        <w:tc>
          <w:tcPr>
            <w:tcW w:type="dxa" w:w="1234"/>
          </w:tcPr>
          <w:p>
            <w:r>
              <w:rPr>
                <w:sz w:val="18"/>
              </w:rPr>
              <w:t>0.26854</w:t>
            </w:r>
          </w:p>
        </w:tc>
        <w:tc>
          <w:tcPr>
            <w:tcW w:type="dxa" w:w="1234"/>
          </w:tcPr>
          <w:p>
            <w:r>
              <w:rPr>
                <w:b/>
                <w:sz w:val="18"/>
              </w:rPr>
              <w:t>0.285156</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+0.3163</w:t>
            </w:r>
          </w:p>
        </w:tc>
        <w:tc>
          <w:tcPr>
            <w:tcW w:type="dxa" w:w="1234"/>
          </w:tcPr>
          <w:p>
            <w:r>
              <w:rPr>
                <w:sz w:val="18"/>
              </w:rPr>
              <w:t>1.0542</w:t>
            </w:r>
          </w:p>
        </w:tc>
        <w:tc>
          <w:tcPr>
            <w:tcW w:type="dxa" w:w="1234"/>
          </w:tcPr>
          <w:p>
            <w:r>
              <w:rPr>
                <w:sz w:val="18"/>
              </w:rPr>
              <w:t>+0.5196</w:t>
            </w:r>
          </w:p>
        </w:tc>
        <w:tc>
          <w:tcPr>
            <w:tcW w:type="dxa" w:w="1234"/>
          </w:tcPr>
          <w:p>
            <w:r>
              <w:rPr>
                <w:sz w:val="18"/>
              </w:rPr>
              <w:t>0.60333</w:t>
            </w:r>
          </w:p>
        </w:tc>
        <w:tc>
          <w:tcPr>
            <w:tcW w:type="dxa" w:w="1234"/>
          </w:tcPr>
          <w:p>
            <w:r>
              <w:rPr>
                <w:b/>
                <w:sz w:val="18"/>
              </w:rPr>
              <w:t>0.75</w:t>
            </w:r>
          </w:p>
        </w:tc>
      </w:tr>
      <w:tr>
        <w:tc>
          <w:tcPr>
            <w:tcW w:type="dxa" w:w="1234"/>
          </w:tcPr>
          <w:p>
            <w:r>
              <w:rPr>
                <w:sz w:val="18"/>
              </w:rPr>
              <w:t>4</w:t>
            </w:r>
          </w:p>
        </w:tc>
        <w:tc>
          <w:tcPr>
            <w:tcW w:type="dxa" w:w="1234"/>
          </w:tcPr>
          <w:p>
            <w:r>
              <w:rPr>
                <w:sz w:val="18"/>
              </w:rPr>
              <w:t>42..45</w:t>
            </w:r>
          </w:p>
        </w:tc>
        <w:tc>
          <w:tcPr>
            <w:tcW w:type="dxa" w:w="1234"/>
          </w:tcPr>
          <w:p>
            <w:r>
              <w:rPr>
                <w:sz w:val="18"/>
              </w:rPr>
              <w:t>+0.1025</w:t>
            </w:r>
          </w:p>
        </w:tc>
        <w:tc>
          <w:tcPr>
            <w:tcW w:type="dxa" w:w="1234"/>
          </w:tcPr>
          <w:p>
            <w:r>
              <w:rPr>
                <w:sz w:val="18"/>
              </w:rPr>
              <w:t>0.9611</w:t>
            </w:r>
          </w:p>
        </w:tc>
        <w:tc>
          <w:tcPr>
            <w:tcW w:type="dxa" w:w="1234"/>
          </w:tcPr>
          <w:p>
            <w:r>
              <w:rPr>
                <w:sz w:val="18"/>
              </w:rPr>
              <w:t>+0.2132</w:t>
            </w:r>
          </w:p>
        </w:tc>
        <w:tc>
          <w:tcPr>
            <w:tcW w:type="dxa" w:w="1234"/>
          </w:tcPr>
          <w:p>
            <w:r>
              <w:rPr>
                <w:sz w:val="18"/>
              </w:rPr>
              <w:t>0.83114</w:t>
            </w:r>
          </w:p>
        </w:tc>
        <w:tc>
          <w:tcPr>
            <w:tcW w:type="dxa" w:w="1234"/>
          </w:tcPr>
          <w:p>
            <w:r>
              <w:rPr>
                <w:b/>
                <w:sz w:val="18"/>
              </w:rPr>
              <w:t>0.875</w:t>
            </w:r>
          </w:p>
        </w:tc>
      </w:tr>
      <w:tr>
        <w:tc>
          <w:tcPr>
            <w:tcW w:type="dxa" w:w="1234"/>
          </w:tcPr>
          <w:p>
            <w:r>
              <w:rPr>
                <w:sz w:val="18"/>
              </w:rPr>
              <w:t>5</w:t>
            </w:r>
          </w:p>
        </w:tc>
        <w:tc>
          <w:tcPr>
            <w:tcW w:type="dxa" w:w="1234"/>
          </w:tcPr>
          <w:p>
            <w:r>
              <w:rPr>
                <w:sz w:val="18"/>
              </w:rPr>
              <w:t>42..46</w:t>
            </w:r>
          </w:p>
        </w:tc>
        <w:tc>
          <w:tcPr>
            <w:tcW w:type="dxa" w:w="1234"/>
          </w:tcPr>
          <w:p>
            <w:r>
              <w:rPr>
                <w:sz w:val="18"/>
              </w:rPr>
              <w:t>+0.2526</w:t>
            </w:r>
          </w:p>
        </w:tc>
        <w:tc>
          <w:tcPr>
            <w:tcW w:type="dxa" w:w="1234"/>
          </w:tcPr>
          <w:p>
            <w:r>
              <w:rPr>
                <w:sz w:val="18"/>
              </w:rPr>
              <w:t>0.8975</w:t>
            </w:r>
          </w:p>
        </w:tc>
        <w:tc>
          <w:tcPr>
            <w:tcW w:type="dxa" w:w="1234"/>
          </w:tcPr>
          <w:p>
            <w:r>
              <w:rPr>
                <w:sz w:val="18"/>
              </w:rPr>
              <w:t>+0.6293</w:t>
            </w:r>
          </w:p>
        </w:tc>
        <w:tc>
          <w:tcPr>
            <w:tcW w:type="dxa" w:w="1234"/>
          </w:tcPr>
          <w:p>
            <w:r>
              <w:rPr>
                <w:sz w:val="18"/>
              </w:rPr>
              <w:t>0.52913</w:t>
            </w:r>
          </w:p>
        </w:tc>
        <w:tc>
          <w:tcPr>
            <w:tcW w:type="dxa" w:w="1234"/>
          </w:tcPr>
          <w:p>
            <w:r>
              <w:rPr>
                <w:b/>
                <w:sz w:val="18"/>
              </w:rPr>
              <w:t>0.5625</w:t>
            </w:r>
          </w:p>
        </w:tc>
      </w:tr>
      <w:tr>
        <w:tc>
          <w:tcPr>
            <w:tcW w:type="dxa" w:w="1234"/>
          </w:tcPr>
          <w:p>
            <w:r>
              <w:rPr>
                <w:sz w:val="18"/>
              </w:rPr>
              <w:t>6</w:t>
            </w:r>
          </w:p>
        </w:tc>
        <w:tc>
          <w:tcPr>
            <w:tcW w:type="dxa" w:w="1234"/>
          </w:tcPr>
          <w:p>
            <w:r>
              <w:rPr>
                <w:sz w:val="18"/>
              </w:rPr>
              <w:t>42..47</w:t>
            </w:r>
          </w:p>
        </w:tc>
        <w:tc>
          <w:tcPr>
            <w:tcW w:type="dxa" w:w="1234"/>
          </w:tcPr>
          <w:p>
            <w:r>
              <w:rPr>
                <w:sz w:val="18"/>
              </w:rPr>
              <w:t>+0.2173</w:t>
            </w:r>
          </w:p>
        </w:tc>
        <w:tc>
          <w:tcPr>
            <w:tcW w:type="dxa" w:w="1234"/>
          </w:tcPr>
          <w:p>
            <w:r>
              <w:rPr>
                <w:sz w:val="18"/>
              </w:rPr>
              <w:t>0.8074</w:t>
            </w:r>
          </w:p>
        </w:tc>
        <w:tc>
          <w:tcPr>
            <w:tcW w:type="dxa" w:w="1234"/>
          </w:tcPr>
          <w:p>
            <w:r>
              <w:rPr>
                <w:sz w:val="18"/>
              </w:rPr>
              <w:t>+0.6592</w:t>
            </w:r>
          </w:p>
        </w:tc>
        <w:tc>
          <w:tcPr>
            <w:tcW w:type="dxa" w:w="1234"/>
          </w:tcPr>
          <w:p>
            <w:r>
              <w:rPr>
                <w:sz w:val="18"/>
              </w:rPr>
              <w:t>0.50977</w:t>
            </w:r>
          </w:p>
        </w:tc>
        <w:tc>
          <w:tcPr>
            <w:tcW w:type="dxa" w:w="1234"/>
          </w:tcPr>
          <w:p>
            <w:r>
              <w:rPr>
                <w:b/>
                <w:sz w:val="18"/>
              </w:rPr>
              <w:t>0.5</w:t>
            </w:r>
          </w:p>
        </w:tc>
      </w:tr>
      <w:tr>
        <w:tc>
          <w:tcPr>
            <w:tcW w:type="dxa" w:w="1234"/>
          </w:tcPr>
          <w:p>
            <w:r>
              <w:rPr>
                <w:sz w:val="18"/>
              </w:rPr>
              <w:t>7</w:t>
            </w:r>
          </w:p>
        </w:tc>
        <w:tc>
          <w:tcPr>
            <w:tcW w:type="dxa" w:w="1234"/>
          </w:tcPr>
          <w:p>
            <w:r>
              <w:rPr>
                <w:sz w:val="18"/>
              </w:rPr>
              <w:t>42..48</w:t>
            </w:r>
          </w:p>
        </w:tc>
        <w:tc>
          <w:tcPr>
            <w:tcW w:type="dxa" w:w="1234"/>
          </w:tcPr>
          <w:p>
            <w:r>
              <w:rPr>
                <w:sz w:val="18"/>
              </w:rPr>
              <w:t>+0.3228</w:t>
            </w:r>
          </w:p>
        </w:tc>
        <w:tc>
          <w:tcPr>
            <w:tcW w:type="dxa" w:w="1234"/>
          </w:tcPr>
          <w:p>
            <w:r>
              <w:rPr>
                <w:sz w:val="18"/>
              </w:rPr>
              <w:t>0.7882</w:t>
            </w:r>
          </w:p>
        </w:tc>
        <w:tc>
          <w:tcPr>
            <w:tcW w:type="dxa" w:w="1234"/>
          </w:tcPr>
          <w:p>
            <w:r>
              <w:rPr>
                <w:sz w:val="18"/>
              </w:rPr>
              <w:t>+1.0836</w:t>
            </w:r>
          </w:p>
        </w:tc>
        <w:tc>
          <w:tcPr>
            <w:tcW w:type="dxa" w:w="1234"/>
          </w:tcPr>
          <w:p>
            <w:r>
              <w:rPr>
                <w:sz w:val="18"/>
              </w:rPr>
              <w:t>0.27852</w:t>
            </w:r>
          </w:p>
        </w:tc>
        <w:tc>
          <w:tcPr>
            <w:tcW w:type="dxa" w:w="1234"/>
          </w:tcPr>
          <w:p>
            <w:r>
              <w:rPr>
                <w:b/>
                <w:sz w:val="18"/>
              </w:rPr>
              <w:t>0.28125</w:t>
            </w:r>
          </w:p>
        </w:tc>
      </w:tr>
      <w:tr>
        <w:tc>
          <w:tcPr>
            <w:tcW w:type="dxa" w:w="1234"/>
          </w:tcPr>
          <w:p>
            <w:r>
              <w:rPr>
                <w:sz w:val="18"/>
              </w:rPr>
              <w:t>8</w:t>
            </w:r>
          </w:p>
        </w:tc>
        <w:tc>
          <w:tcPr>
            <w:tcW w:type="dxa" w:w="1234"/>
          </w:tcPr>
          <w:p>
            <w:r>
              <w:rPr>
                <w:sz w:val="18"/>
              </w:rPr>
              <w:t>42..49</w:t>
            </w:r>
          </w:p>
        </w:tc>
        <w:tc>
          <w:tcPr>
            <w:tcW w:type="dxa" w:w="1234"/>
          </w:tcPr>
          <w:p>
            <w:r>
              <w:rPr>
                <w:sz w:val="18"/>
              </w:rPr>
              <w:t>+0.3957</w:t>
            </w:r>
          </w:p>
        </w:tc>
        <w:tc>
          <w:tcPr>
            <w:tcW w:type="dxa" w:w="1234"/>
          </w:tcPr>
          <w:p>
            <w:r>
              <w:rPr>
                <w:sz w:val="18"/>
              </w:rPr>
              <w:t>0.7582</w:t>
            </w:r>
          </w:p>
        </w:tc>
        <w:tc>
          <w:tcPr>
            <w:tcW w:type="dxa" w:w="1234"/>
          </w:tcPr>
          <w:p>
            <w:r>
              <w:rPr>
                <w:sz w:val="18"/>
              </w:rPr>
              <w:t>+1.4759</w:t>
            </w:r>
          </w:p>
        </w:tc>
        <w:tc>
          <w:tcPr>
            <w:tcW w:type="dxa" w:w="1234"/>
          </w:tcPr>
          <w:p>
            <w:r>
              <w:rPr>
                <w:sz w:val="18"/>
              </w:rPr>
              <w:t>0.13997</w:t>
            </w:r>
          </w:p>
        </w:tc>
        <w:tc>
          <w:tcPr>
            <w:tcW w:type="dxa" w:w="1234"/>
          </w:tcPr>
          <w:p>
            <w:r>
              <w:rPr>
                <w:b/>
                <w:sz w:val="18"/>
              </w:rPr>
              <w:t>0.15625</w:t>
            </w:r>
          </w:p>
        </w:tc>
      </w:tr>
      <w:tr>
        <w:tc>
          <w:tcPr>
            <w:tcW w:type="dxa" w:w="1234"/>
          </w:tcPr>
          <w:p>
            <w:r>
              <w:rPr>
                <w:sz w:val="18"/>
              </w:rPr>
              <w:t>9</w:t>
            </w:r>
          </w:p>
        </w:tc>
        <w:tc>
          <w:tcPr>
            <w:tcW w:type="dxa" w:w="1234"/>
          </w:tcPr>
          <w:p>
            <w:r>
              <w:rPr>
                <w:sz w:val="18"/>
              </w:rPr>
              <w:t>42..50</w:t>
            </w:r>
          </w:p>
        </w:tc>
        <w:tc>
          <w:tcPr>
            <w:tcW w:type="dxa" w:w="1234"/>
          </w:tcPr>
          <w:p>
            <w:r>
              <w:rPr>
                <w:sz w:val="18"/>
              </w:rPr>
              <w:t>+0.4118</w:t>
            </w:r>
          </w:p>
        </w:tc>
        <w:tc>
          <w:tcPr>
            <w:tcW w:type="dxa" w:w="1234"/>
          </w:tcPr>
          <w:p>
            <w:r>
              <w:rPr>
                <w:sz w:val="18"/>
              </w:rPr>
              <w:t>0.7109</w:t>
            </w:r>
          </w:p>
        </w:tc>
        <w:tc>
          <w:tcPr>
            <w:tcW w:type="dxa" w:w="1234"/>
          </w:tcPr>
          <w:p>
            <w:r>
              <w:rPr>
                <w:sz w:val="18"/>
              </w:rPr>
              <w:t>+1.7379</w:t>
            </w:r>
          </w:p>
        </w:tc>
        <w:tc>
          <w:tcPr>
            <w:tcW w:type="dxa" w:w="1234"/>
          </w:tcPr>
          <w:p>
            <w:r>
              <w:rPr>
                <w:sz w:val="18"/>
              </w:rPr>
              <w:t>0.08223</w:t>
            </w:r>
          </w:p>
        </w:tc>
        <w:tc>
          <w:tcPr>
            <w:tcW w:type="dxa" w:w="1234"/>
          </w:tcPr>
          <w:p>
            <w:r>
              <w:rPr>
                <w:b/>
                <w:sz w:val="18"/>
              </w:rPr>
              <w:t>0.105469</w:t>
            </w:r>
          </w:p>
        </w:tc>
      </w:tr>
      <w:tr>
        <w:tc>
          <w:tcPr>
            <w:tcW w:type="dxa" w:w="1234"/>
          </w:tcPr>
          <w:p>
            <w:r>
              <w:rPr>
                <w:sz w:val="18"/>
              </w:rPr>
              <w:t>10</w:t>
            </w:r>
          </w:p>
        </w:tc>
        <w:tc>
          <w:tcPr>
            <w:tcW w:type="dxa" w:w="1234"/>
          </w:tcPr>
          <w:p>
            <w:r>
              <w:rPr>
                <w:sz w:val="18"/>
              </w:rPr>
              <w:t>42..51</w:t>
            </w:r>
          </w:p>
        </w:tc>
        <w:tc>
          <w:tcPr>
            <w:tcW w:type="dxa" w:w="1234"/>
          </w:tcPr>
          <w:p>
            <w:r>
              <w:rPr>
                <w:sz w:val="18"/>
              </w:rPr>
              <w:t>+0.2303</w:t>
            </w:r>
          </w:p>
        </w:tc>
        <w:tc>
          <w:tcPr>
            <w:tcW w:type="dxa" w:w="1234"/>
          </w:tcPr>
          <w:p>
            <w:r>
              <w:rPr>
                <w:sz w:val="18"/>
              </w:rPr>
              <w:t>0.8825</w:t>
            </w:r>
          </w:p>
        </w:tc>
        <w:tc>
          <w:tcPr>
            <w:tcW w:type="dxa" w:w="1234"/>
          </w:tcPr>
          <w:p>
            <w:r>
              <w:rPr>
                <w:sz w:val="18"/>
              </w:rPr>
              <w:t>+0.8253</w:t>
            </w:r>
          </w:p>
        </w:tc>
        <w:tc>
          <w:tcPr>
            <w:tcW w:type="dxa" w:w="1234"/>
          </w:tcPr>
          <w:p>
            <w:r>
              <w:rPr>
                <w:sz w:val="18"/>
              </w:rPr>
              <w:t>0.40920</w:t>
            </w:r>
          </w:p>
        </w:tc>
        <w:tc>
          <w:tcPr>
            <w:tcW w:type="dxa" w:w="1234"/>
          </w:tcPr>
          <w:p>
            <w:r>
              <w:rPr>
                <w:b/>
                <w:sz w:val="18"/>
              </w:rPr>
              <w:t>0.416016</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+1.3295</w:t>
            </w:r>
          </w:p>
        </w:tc>
        <w:tc>
          <w:tcPr>
            <w:tcW w:type="dxa" w:w="1234"/>
          </w:tcPr>
          <w:p>
            <w:r>
              <w:rPr>
                <w:sz w:val="18"/>
              </w:rPr>
              <w:t>0.9950</w:t>
            </w:r>
          </w:p>
        </w:tc>
        <w:tc>
          <w:tcPr>
            <w:tcW w:type="dxa" w:w="1234"/>
          </w:tcPr>
          <w:p>
            <w:r>
              <w:rPr>
                <w:sz w:val="18"/>
              </w:rPr>
              <w:t>+2.3143</w:t>
            </w:r>
          </w:p>
        </w:tc>
        <w:tc>
          <w:tcPr>
            <w:tcW w:type="dxa" w:w="1234"/>
          </w:tcPr>
          <w:p>
            <w:r>
              <w:rPr>
                <w:sz w:val="18"/>
              </w:rPr>
              <w:t>0.02065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+0.9645</w:t>
            </w:r>
          </w:p>
        </w:tc>
        <w:tc>
          <w:tcPr>
            <w:tcW w:type="dxa" w:w="1234"/>
          </w:tcPr>
          <w:p>
            <w:r>
              <w:rPr>
                <w:sz w:val="18"/>
              </w:rPr>
              <w:t>1.0921</w:t>
            </w:r>
          </w:p>
        </w:tc>
        <w:tc>
          <w:tcPr>
            <w:tcW w:type="dxa" w:w="1234"/>
          </w:tcPr>
          <w:p>
            <w:r>
              <w:rPr>
                <w:sz w:val="18"/>
              </w:rPr>
              <w:t>+1.7663</w:t>
            </w:r>
          </w:p>
        </w:tc>
        <w:tc>
          <w:tcPr>
            <w:tcW w:type="dxa" w:w="1234"/>
          </w:tcPr>
          <w:p>
            <w:r>
              <w:rPr>
                <w:sz w:val="18"/>
              </w:rPr>
              <w:t>0.07734</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+1.0214</w:t>
            </w:r>
          </w:p>
        </w:tc>
        <w:tc>
          <w:tcPr>
            <w:tcW w:type="dxa" w:w="1234"/>
          </w:tcPr>
          <w:p>
            <w:r>
              <w:rPr>
                <w:sz w:val="18"/>
              </w:rPr>
              <w:t>0.9543</w:t>
            </w:r>
          </w:p>
        </w:tc>
        <w:tc>
          <w:tcPr>
            <w:tcW w:type="dxa" w:w="1234"/>
          </w:tcPr>
          <w:p>
            <w:r>
              <w:rPr>
                <w:sz w:val="18"/>
              </w:rPr>
              <w:t>+2.3932</w:t>
            </w:r>
          </w:p>
        </w:tc>
        <w:tc>
          <w:tcPr>
            <w:tcW w:type="dxa" w:w="1234"/>
          </w:tcPr>
          <w:p>
            <w:r>
              <w:rPr>
                <w:sz w:val="18"/>
              </w:rPr>
              <w:t>0.01670</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+1.0940</w:t>
            </w:r>
          </w:p>
        </w:tc>
        <w:tc>
          <w:tcPr>
            <w:tcW w:type="dxa" w:w="1234"/>
          </w:tcPr>
          <w:p>
            <w:r>
              <w:rPr>
                <w:sz w:val="18"/>
              </w:rPr>
              <w:t>0.8719</w:t>
            </w:r>
          </w:p>
        </w:tc>
        <w:tc>
          <w:tcPr>
            <w:tcW w:type="dxa" w:w="1234"/>
          </w:tcPr>
          <w:p>
            <w:r>
              <w:rPr>
                <w:sz w:val="18"/>
              </w:rPr>
              <w:t>+3.0735</w:t>
            </w:r>
          </w:p>
        </w:tc>
        <w:tc>
          <w:tcPr>
            <w:tcW w:type="dxa" w:w="1234"/>
          </w:tcPr>
          <w:p>
            <w:r>
              <w:rPr>
                <w:sz w:val="18"/>
              </w:rPr>
              <w:t>0.00212</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+1.0717</w:t>
            </w:r>
          </w:p>
        </w:tc>
        <w:tc>
          <w:tcPr>
            <w:tcW w:type="dxa" w:w="1234"/>
          </w:tcPr>
          <w:p>
            <w:r>
              <w:rPr>
                <w:sz w:val="18"/>
              </w:rPr>
              <w:t>0.7981</w:t>
            </w:r>
          </w:p>
        </w:tc>
        <w:tc>
          <w:tcPr>
            <w:tcW w:type="dxa" w:w="1234"/>
          </w:tcPr>
          <w:p>
            <w:r>
              <w:rPr>
                <w:sz w:val="18"/>
              </w:rPr>
              <w:t>+3.5528</w:t>
            </w:r>
          </w:p>
        </w:tc>
        <w:tc>
          <w:tcPr>
            <w:tcW w:type="dxa" w:w="1234"/>
          </w:tcPr>
          <w:p>
            <w:r>
              <w:rPr>
                <w:sz w:val="18"/>
              </w:rPr>
              <w:t>0.00038</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+1.0092</w:t>
            </w:r>
          </w:p>
        </w:tc>
        <w:tc>
          <w:tcPr>
            <w:tcW w:type="dxa" w:w="1234"/>
          </w:tcPr>
          <w:p>
            <w:r>
              <w:rPr>
                <w:sz w:val="18"/>
              </w:rPr>
              <w:t>0.7598</w:t>
            </w:r>
          </w:p>
        </w:tc>
        <w:tc>
          <w:tcPr>
            <w:tcW w:type="dxa" w:w="1234"/>
          </w:tcPr>
          <w:p>
            <w:r>
              <w:rPr>
                <w:sz w:val="18"/>
              </w:rPr>
              <w:t>+3.7568</w:t>
            </w:r>
          </w:p>
        </w:tc>
        <w:tc>
          <w:tcPr>
            <w:tcW w:type="dxa" w:w="1234"/>
          </w:tcPr>
          <w:p>
            <w:r>
              <w:rPr>
                <w:sz w:val="18"/>
              </w:rPr>
              <w:t>0.00017</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+0.8641</w:t>
            </w:r>
          </w:p>
        </w:tc>
        <w:tc>
          <w:tcPr>
            <w:tcW w:type="dxa" w:w="1234"/>
          </w:tcPr>
          <w:p>
            <w:r>
              <w:rPr>
                <w:sz w:val="18"/>
              </w:rPr>
              <w:t>0.8334</w:t>
            </w:r>
          </w:p>
        </w:tc>
        <w:tc>
          <w:tcPr>
            <w:tcW w:type="dxa" w:w="1234"/>
          </w:tcPr>
          <w:p>
            <w:r>
              <w:rPr>
                <w:sz w:val="18"/>
              </w:rPr>
              <w:t>+3.1103</w:t>
            </w:r>
          </w:p>
        </w:tc>
        <w:tc>
          <w:tcPr>
            <w:tcW w:type="dxa" w:w="1234"/>
          </w:tcPr>
          <w:p>
            <w:r>
              <w:rPr>
                <w:sz w:val="18"/>
              </w:rPr>
              <w:t>0.00187</w:t>
            </w:r>
          </w:p>
        </w:tc>
        <w:tc>
          <w:tcPr>
            <w:tcW w:type="dxa" w:w="1234"/>
          </w:tcPr>
          <w:p>
            <w:r>
              <w:rPr>
                <w:b/>
                <w:sz w:val="18"/>
              </w:rPr>
              <w:t>0.0234375</w:t>
            </w:r>
          </w:p>
        </w:tc>
      </w:tr>
      <w:tr>
        <w:tc>
          <w:tcPr>
            <w:tcW w:type="dxa" w:w="1234"/>
          </w:tcPr>
          <w:p>
            <w:r>
              <w:rPr>
                <w:sz w:val="18"/>
              </w:rPr>
              <w:t>10</w:t>
            </w:r>
          </w:p>
        </w:tc>
        <w:tc>
          <w:tcPr>
            <w:tcW w:type="dxa" w:w="1234"/>
          </w:tcPr>
          <w:p>
            <w:r>
              <w:rPr>
                <w:sz w:val="18"/>
              </w:rPr>
              <w:t>42..51</w:t>
            </w:r>
          </w:p>
        </w:tc>
        <w:tc>
          <w:tcPr>
            <w:tcW w:type="dxa" w:w="1234"/>
          </w:tcPr>
          <w:p>
            <w:r>
              <w:rPr>
                <w:sz w:val="18"/>
              </w:rPr>
              <w:t>+0.8036</w:t>
            </w:r>
          </w:p>
        </w:tc>
        <w:tc>
          <w:tcPr>
            <w:tcW w:type="dxa" w:w="1234"/>
          </w:tcPr>
          <w:p>
            <w:r>
              <w:rPr>
                <w:sz w:val="18"/>
              </w:rPr>
              <w:t>0.8087</w:t>
            </w:r>
          </w:p>
        </w:tc>
        <w:tc>
          <w:tcPr>
            <w:tcW w:type="dxa" w:w="1234"/>
          </w:tcPr>
          <w:p>
            <w:r>
              <w:rPr>
                <w:sz w:val="18"/>
              </w:rPr>
              <w:t>+3.1422</w:t>
            </w:r>
          </w:p>
        </w:tc>
        <w:tc>
          <w:tcPr>
            <w:tcW w:type="dxa" w:w="1234"/>
          </w:tcPr>
          <w:p>
            <w:r>
              <w:rPr>
                <w:sz w:val="18"/>
              </w:rPr>
              <w:t>0.00168</w:t>
            </w:r>
          </w:p>
        </w:tc>
        <w:tc>
          <w:tcPr>
            <w:tcW w:type="dxa" w:w="1234"/>
          </w:tcPr>
          <w:p>
            <w:r>
              <w:rPr>
                <w:b/>
                <w:sz w:val="18"/>
              </w:rPr>
              <w:t>0.015625</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+1.0987</w:t>
            </w:r>
          </w:p>
        </w:tc>
        <w:tc>
          <w:tcPr>
            <w:tcW w:type="dxa" w:w="1234"/>
          </w:tcPr>
          <w:p>
            <w:r>
              <w:rPr>
                <w:sz w:val="18"/>
              </w:rPr>
              <w:t>0.7124</w:t>
            </w:r>
          </w:p>
        </w:tc>
        <w:tc>
          <w:tcPr>
            <w:tcW w:type="dxa" w:w="1234"/>
          </w:tcPr>
          <w:p>
            <w:r>
              <w:rPr>
                <w:sz w:val="18"/>
              </w:rPr>
              <w:t>+2.6714</w:t>
            </w:r>
          </w:p>
        </w:tc>
        <w:tc>
          <w:tcPr>
            <w:tcW w:type="dxa" w:w="1234"/>
          </w:tcPr>
          <w:p>
            <w:r>
              <w:rPr>
                <w:sz w:val="18"/>
              </w:rPr>
              <w:t>0.00755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+0.6878</w:t>
            </w:r>
          </w:p>
        </w:tc>
        <w:tc>
          <w:tcPr>
            <w:tcW w:type="dxa" w:w="1234"/>
          </w:tcPr>
          <w:p>
            <w:r>
              <w:rPr>
                <w:sz w:val="18"/>
              </w:rPr>
              <w:t>1.0069</w:t>
            </w:r>
          </w:p>
        </w:tc>
        <w:tc>
          <w:tcPr>
            <w:tcW w:type="dxa" w:w="1234"/>
          </w:tcPr>
          <w:p>
            <w:r>
              <w:rPr>
                <w:sz w:val="18"/>
              </w:rPr>
              <w:t>+1.3661</w:t>
            </w:r>
          </w:p>
        </w:tc>
        <w:tc>
          <w:tcPr>
            <w:tcW w:type="dxa" w:w="1234"/>
          </w:tcPr>
          <w:p>
            <w:r>
              <w:rPr>
                <w:sz w:val="18"/>
              </w:rPr>
              <w:t>0.17191</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+0.9974</w:t>
            </w:r>
          </w:p>
        </w:tc>
        <w:tc>
          <w:tcPr>
            <w:tcW w:type="dxa" w:w="1234"/>
          </w:tcPr>
          <w:p>
            <w:r>
              <w:rPr>
                <w:sz w:val="18"/>
              </w:rPr>
              <w:t>1.1134</w:t>
            </w:r>
          </w:p>
        </w:tc>
        <w:tc>
          <w:tcPr>
            <w:tcW w:type="dxa" w:w="1234"/>
          </w:tcPr>
          <w:p>
            <w:r>
              <w:rPr>
                <w:sz w:val="18"/>
              </w:rPr>
              <w:t>+2.0030</w:t>
            </w:r>
          </w:p>
        </w:tc>
        <w:tc>
          <w:tcPr>
            <w:tcW w:type="dxa" w:w="1234"/>
          </w:tcPr>
          <w:p>
            <w:r>
              <w:rPr>
                <w:sz w:val="18"/>
              </w:rPr>
              <w:t>0.04517</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+1.1674</w:t>
            </w:r>
          </w:p>
        </w:tc>
        <w:tc>
          <w:tcPr>
            <w:tcW w:type="dxa" w:w="1234"/>
          </w:tcPr>
          <w:p>
            <w:r>
              <w:rPr>
                <w:sz w:val="18"/>
              </w:rPr>
              <w:t>1.0795</w:t>
            </w:r>
          </w:p>
        </w:tc>
        <w:tc>
          <w:tcPr>
            <w:tcW w:type="dxa" w:w="1234"/>
          </w:tcPr>
          <w:p>
            <w:r>
              <w:rPr>
                <w:sz w:val="18"/>
              </w:rPr>
              <w:t>+2.6491</w:t>
            </w:r>
          </w:p>
        </w:tc>
        <w:tc>
          <w:tcPr>
            <w:tcW w:type="dxa" w:w="1234"/>
          </w:tcPr>
          <w:p>
            <w:r>
              <w:rPr>
                <w:sz w:val="18"/>
              </w:rPr>
              <w:t>0.00807</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+1.1468</w:t>
            </w:r>
          </w:p>
        </w:tc>
        <w:tc>
          <w:tcPr>
            <w:tcW w:type="dxa" w:w="1234"/>
          </w:tcPr>
          <w:p>
            <w:r>
              <w:rPr>
                <w:sz w:val="18"/>
              </w:rPr>
              <w:t>0.9869</w:t>
            </w:r>
          </w:p>
        </w:tc>
        <w:tc>
          <w:tcPr>
            <w:tcW w:type="dxa" w:w="1234"/>
          </w:tcPr>
          <w:p>
            <w:r>
              <w:rPr>
                <w:sz w:val="18"/>
              </w:rPr>
              <w:t>+3.0743</w:t>
            </w:r>
          </w:p>
        </w:tc>
        <w:tc>
          <w:tcPr>
            <w:tcW w:type="dxa" w:w="1234"/>
          </w:tcPr>
          <w:p>
            <w:r>
              <w:rPr>
                <w:sz w:val="18"/>
              </w:rPr>
              <w:t>0.00211</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+1.2596</w:t>
            </w:r>
          </w:p>
        </w:tc>
        <w:tc>
          <w:tcPr>
            <w:tcW w:type="dxa" w:w="1234"/>
          </w:tcPr>
          <w:p>
            <w:r>
              <w:rPr>
                <w:sz w:val="18"/>
              </w:rPr>
              <w:t>0.9678</w:t>
            </w:r>
          </w:p>
        </w:tc>
        <w:tc>
          <w:tcPr>
            <w:tcW w:type="dxa" w:w="1234"/>
          </w:tcPr>
          <w:p>
            <w:r>
              <w:rPr>
                <w:sz w:val="18"/>
              </w:rPr>
              <w:t>+3.6811</w:t>
            </w:r>
          </w:p>
        </w:tc>
        <w:tc>
          <w:tcPr>
            <w:tcW w:type="dxa" w:w="1234"/>
          </w:tcPr>
          <w:p>
            <w:r>
              <w:rPr>
                <w:sz w:val="18"/>
              </w:rPr>
              <w:t>0.00023</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+1.0909</w:t>
            </w:r>
          </w:p>
        </w:tc>
        <w:tc>
          <w:tcPr>
            <w:tcW w:type="dxa" w:w="1234"/>
          </w:tcPr>
          <w:p>
            <w:r>
              <w:rPr>
                <w:sz w:val="18"/>
              </w:rPr>
              <w:t>1.0372</w:t>
            </w:r>
          </w:p>
        </w:tc>
        <w:tc>
          <w:tcPr>
            <w:tcW w:type="dxa" w:w="1234"/>
          </w:tcPr>
          <w:p>
            <w:r>
              <w:rPr>
                <w:sz w:val="18"/>
              </w:rPr>
              <w:t>+3.1553</w:t>
            </w:r>
          </w:p>
        </w:tc>
        <w:tc>
          <w:tcPr>
            <w:tcW w:type="dxa" w:w="1234"/>
          </w:tcPr>
          <w:p>
            <w:r>
              <w:rPr>
                <w:sz w:val="18"/>
              </w:rPr>
              <w:t>0.00160</w:t>
            </w:r>
          </w:p>
        </w:tc>
        <w:tc>
          <w:tcPr>
            <w:tcW w:type="dxa" w:w="1234"/>
          </w:tcPr>
          <w:p>
            <w:r>
              <w:rPr>
                <w:b/>
                <w:sz w:val="18"/>
              </w:rPr>
              <w:t>0.0195312</w:t>
            </w:r>
          </w:p>
        </w:tc>
      </w:tr>
      <w:tr>
        <w:tc>
          <w:tcPr>
            <w:tcW w:type="dxa" w:w="1234"/>
          </w:tcPr>
          <w:p>
            <w:r>
              <w:rPr>
                <w:sz w:val="18"/>
              </w:rPr>
              <w:t>10</w:t>
            </w:r>
          </w:p>
        </w:tc>
        <w:tc>
          <w:tcPr>
            <w:tcW w:type="dxa" w:w="1234"/>
          </w:tcPr>
          <w:p>
            <w:r>
              <w:rPr>
                <w:sz w:val="18"/>
              </w:rPr>
              <w:t>42..51</w:t>
            </w:r>
          </w:p>
        </w:tc>
        <w:tc>
          <w:tcPr>
            <w:tcW w:type="dxa" w:w="1234"/>
          </w:tcPr>
          <w:p>
            <w:r>
              <w:rPr>
                <w:sz w:val="18"/>
              </w:rPr>
              <w:t>+0.9818</w:t>
            </w:r>
          </w:p>
        </w:tc>
        <w:tc>
          <w:tcPr>
            <w:tcW w:type="dxa" w:w="1234"/>
          </w:tcPr>
          <w:p>
            <w:r>
              <w:rPr>
                <w:sz w:val="18"/>
              </w:rPr>
              <w:t>1.0369</w:t>
            </w:r>
          </w:p>
        </w:tc>
        <w:tc>
          <w:tcPr>
            <w:tcW w:type="dxa" w:w="1234"/>
          </w:tcPr>
          <w:p>
            <w:r>
              <w:rPr>
                <w:sz w:val="18"/>
              </w:rPr>
              <w:t>+2.9941</w:t>
            </w:r>
          </w:p>
        </w:tc>
        <w:tc>
          <w:tcPr>
            <w:tcW w:type="dxa" w:w="1234"/>
          </w:tcPr>
          <w:p>
            <w:r>
              <w:rPr>
                <w:sz w:val="18"/>
              </w:rPr>
              <w:t>0.00275</w:t>
            </w:r>
          </w:p>
        </w:tc>
        <w:tc>
          <w:tcPr>
            <w:tcW w:type="dxa" w:w="1234"/>
          </w:tcPr>
          <w:p>
            <w:r>
              <w:rPr>
                <w:b/>
                <w:sz w:val="18"/>
              </w:rPr>
              <w:t>0.0195312</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computed for this revision (the free-intercept control,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(added this revision)</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(added this revision)</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p/>
    <w:p>
      <w:pPr>
        <w:pStyle w:val="Heading1"/>
      </w:pPr>
      <w:r>
        <w:t>S32 · Per-coder accuracy against the 30 first-party corrections (added this revision)</w:t>
      </w:r>
    </w:p>
    <w:p>
      <w:r>
        <w:rPr>
          <w:b/>
        </w:rPr>
        <w:t>What was asked (qwen3.8-max E6).</w:t>
      </w:r>
      <w:r>
        <w:t xml:space="preserve"> For each coding panellist: its vendor / model / version, its accuracy on the 30 cells the first-party re-verification changed, and its </w:t>
      </w:r>
      <w:r>
        <w:rPr>
          <w:rFonts w:ascii="Consolas" w:hAnsi="Consolas"/>
          <w:sz w:val="19"/>
        </w:rPr>
        <w:t>blocked</w:t>
      </w:r>
      <w:r>
        <w:t xml:space="preserve"> rate.</w:t>
      </w:r>
    </w:p>
    <w:p>
      <w:r>
        <w:rPr>
          <w:b/>
        </w:rPr>
        <w:t>Method.</w:t>
      </w:r>
      <w:r>
        <w:t xml:space="preserve"> The 30 corrections are read verbatim from </w:t>
      </w:r>
      <w:r>
        <w:rPr>
          <w:rFonts w:ascii="Consolas" w:hAnsi="Consolas"/>
          <w:sz w:val="19"/>
        </w:rPr>
        <w:t>recompute_subtotals_corrected_20261010.py</w:t>
      </w:r>
      <w:r>
        <w:t xml:space="preserve">; each panellist’s value is scored against the </w:t>
      </w:r>
      <w:r>
        <w:rPr>
          <w:b/>
        </w:rPr>
        <w:t>printed</w:t>
      </w:r>
      <w:r>
        <w:t xml:space="preserve"> value and against the </w:t>
      </w:r>
      <w:r>
        <w:rPr>
          <w:b/>
        </w:rPr>
        <w:t>re-verified</w:t>
      </w:r>
      <w:r>
        <w:t xml:space="preserve"> value, under the stated crosswalk of §S31; a cell that matches neither is counted for neither.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panellist</w:t>
            </w:r>
          </w:p>
        </w:tc>
        <w:tc>
          <w:tcPr>
            <w:tcW w:type="dxa" w:w="1728"/>
          </w:tcPr>
          <w:p>
            <w:r>
              <w:rPr>
                <w:b/>
                <w:sz w:val="18"/>
              </w:rPr>
              <w:t>format</w:t>
            </w:r>
          </w:p>
        </w:tc>
        <w:tc>
          <w:tcPr>
            <w:tcW w:type="dxa" w:w="1728"/>
          </w:tcPr>
          <w:p>
            <w:r>
              <w:rPr>
                <w:b/>
                <w:sz w:val="18"/>
              </w:rPr>
              <w:t>matches re-verified</w:t>
            </w:r>
          </w:p>
        </w:tc>
        <w:tc>
          <w:tcPr>
            <w:tcW w:type="dxa" w:w="1728"/>
          </w:tcPr>
          <w:p>
            <w:r>
              <w:rPr>
                <w:b/>
                <w:sz w:val="18"/>
              </w:rPr>
              <w:t>matches printed</w:t>
            </w:r>
          </w:p>
        </w:tc>
        <w:tc>
          <w:tcPr>
            <w:tcW w:type="dxa" w:w="1728"/>
          </w:tcPr>
          <w:p>
            <w:r>
              <w:rPr>
                <w:b/>
                <w:sz w:val="18"/>
              </w:rPr>
              <w:t>blocked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glm-5.3</w:t>
            </w:r>
          </w:p>
        </w:tc>
        <w:tc>
          <w:tcPr>
            <w:tcW w:type="dxa" w:w="1728"/>
          </w:tcPr>
          <w:p>
            <w:r>
              <w:rPr>
                <w:sz w:val="18"/>
              </w:rPr>
              <w:t>TABLE</w:t>
            </w:r>
          </w:p>
        </w:tc>
        <w:tc>
          <w:tcPr>
            <w:tcW w:type="dxa" w:w="1728"/>
          </w:tcPr>
          <w:p>
            <w:r>
              <w:rPr>
                <w:b/>
                <w:sz w:val="18"/>
              </w:rPr>
              <w:t>17 / 30</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GLM-5.3-Flash</w:t>
            </w:r>
          </w:p>
        </w:tc>
        <w:tc>
          <w:tcPr>
            <w:tcW w:type="dxa" w:w="1728"/>
          </w:tcPr>
          <w:p>
            <w:r>
              <w:rPr>
                <w:sz w:val="18"/>
              </w:rPr>
              <w:t>ROW</w:t>
            </w:r>
          </w:p>
        </w:tc>
        <w:tc>
          <w:tcPr>
            <w:tcW w:type="dxa" w:w="1728"/>
          </w:tcPr>
          <w:p>
            <w:r>
              <w:rPr>
                <w:sz w:val="18"/>
              </w:rPr>
              <w:t>8</w:t>
            </w:r>
          </w:p>
        </w:tc>
        <w:tc>
          <w:tcPr>
            <w:tcW w:type="dxa" w:w="1728"/>
          </w:tcPr>
          <w:p>
            <w:r>
              <w:rPr>
                <w:sz w:val="18"/>
              </w:rPr>
              <w:t>6</w:t>
            </w:r>
          </w:p>
        </w:tc>
        <w:tc>
          <w:tcPr>
            <w:tcW w:type="dxa" w:w="1728"/>
          </w:tcPr>
          <w:p>
            <w:r>
              <w:rPr>
                <w:sz w:val="18"/>
              </w:rPr>
              <w:t>0</w:t>
            </w:r>
          </w:p>
        </w:tc>
      </w:tr>
      <w:tr>
        <w:tc>
          <w:tcPr>
            <w:tcW w:type="dxa" w:w="1728"/>
          </w:tcPr>
          <w:p>
            <w:r>
              <w:rPr>
                <w:rFonts w:ascii="Consolas" w:hAnsi="Consolas"/>
                <w:sz w:val="18"/>
              </w:rPr>
              <w:t>hy4-preview</w:t>
            </w:r>
          </w:p>
        </w:tc>
        <w:tc>
          <w:tcPr>
            <w:tcW w:type="dxa" w:w="1728"/>
          </w:tcPr>
          <w:p>
            <w:r>
              <w:rPr>
                <w:sz w:val="18"/>
              </w:rPr>
              <w:t>ROW</w:t>
            </w:r>
          </w:p>
        </w:tc>
        <w:tc>
          <w:tcPr>
            <w:tcW w:type="dxa" w:w="1728"/>
          </w:tcPr>
          <w:p>
            <w:r>
              <w:rPr>
                <w:sz w:val="18"/>
              </w:rPr>
              <w:t>7</w:t>
            </w:r>
          </w:p>
        </w:tc>
        <w:tc>
          <w:tcPr>
            <w:tcW w:type="dxa" w:w="1728"/>
          </w:tcPr>
          <w:p>
            <w:r>
              <w:rPr>
                <w:sz w:val="18"/>
              </w:rPr>
              <w:t>7</w:t>
            </w:r>
          </w:p>
        </w:tc>
        <w:tc>
          <w:tcPr>
            <w:tcW w:type="dxa" w:w="1728"/>
          </w:tcPr>
          <w:p>
            <w:r>
              <w:rPr>
                <w:sz w:val="18"/>
              </w:rPr>
              <w:t>0</w:t>
            </w:r>
          </w:p>
        </w:tc>
      </w:tr>
      <w:tr>
        <w:tc>
          <w:tcPr>
            <w:tcW w:type="dxa" w:w="1728"/>
          </w:tcPr>
          <w:p>
            <w:r>
              <w:rPr>
                <w:rFonts w:ascii="Consolas" w:hAnsi="Consolas"/>
                <w:sz w:val="18"/>
              </w:rPr>
              <w:t>gemini-3.8-flash</w:t>
            </w:r>
          </w:p>
        </w:tc>
        <w:tc>
          <w:tcPr>
            <w:tcW w:type="dxa" w:w="1728"/>
          </w:tcPr>
          <w:p>
            <w:r>
              <w:rPr>
                <w:sz w:val="18"/>
              </w:rPr>
              <w:t>ROW</w:t>
            </w:r>
          </w:p>
        </w:tc>
        <w:tc>
          <w:tcPr>
            <w:tcW w:type="dxa" w:w="1728"/>
          </w:tcPr>
          <w:p>
            <w:r>
              <w:rPr>
                <w:sz w:val="18"/>
              </w:rPr>
              <w:t>7</w:t>
            </w:r>
          </w:p>
        </w:tc>
        <w:tc>
          <w:tcPr>
            <w:tcW w:type="dxa" w:w="1728"/>
          </w:tcPr>
          <w:p>
            <w:r>
              <w:rPr>
                <w:sz w:val="18"/>
              </w:rPr>
              <w:t>10</w:t>
            </w:r>
          </w:p>
        </w:tc>
        <w:tc>
          <w:tcPr>
            <w:tcW w:type="dxa" w:w="1728"/>
          </w:tcPr>
          <w:p>
            <w:r>
              <w:rPr>
                <w:sz w:val="18"/>
              </w:rPr>
              <w:t>0</w:t>
            </w:r>
          </w:p>
        </w:tc>
      </w:tr>
      <w:tr>
        <w:tc>
          <w:tcPr>
            <w:tcW w:type="dxa" w:w="1728"/>
          </w:tcPr>
          <w:p>
            <w:r>
              <w:rPr>
                <w:rFonts w:ascii="Consolas" w:hAnsi="Consolas"/>
                <w:sz w:val="18"/>
              </w:rPr>
              <w:t>Deepseek-V4.1-Flash</w:t>
            </w:r>
          </w:p>
        </w:tc>
        <w:tc>
          <w:tcPr>
            <w:tcW w:type="dxa" w:w="1728"/>
          </w:tcPr>
          <w:p>
            <w:r>
              <w:rPr>
                <w:sz w:val="18"/>
              </w:rPr>
              <w:t>ROW</w:t>
            </w:r>
          </w:p>
        </w:tc>
        <w:tc>
          <w:tcPr>
            <w:tcW w:type="dxa" w:w="1728"/>
          </w:tcPr>
          <w:p>
            <w:r>
              <w:rPr>
                <w:sz w:val="18"/>
              </w:rPr>
              <w:t>6</w:t>
            </w:r>
          </w:p>
        </w:tc>
        <w:tc>
          <w:tcPr>
            <w:tcW w:type="dxa" w:w="1728"/>
          </w:tcPr>
          <w:p>
            <w:r>
              <w:rPr>
                <w:sz w:val="18"/>
              </w:rPr>
              <w:t>9</w:t>
            </w:r>
          </w:p>
        </w:tc>
        <w:tc>
          <w:tcPr>
            <w:tcW w:type="dxa" w:w="1728"/>
          </w:tcPr>
          <w:p>
            <w:r>
              <w:rPr>
                <w:sz w:val="18"/>
              </w:rPr>
              <w:t>0</w:t>
            </w:r>
          </w:p>
        </w:tc>
      </w:tr>
      <w:tr>
        <w:tc>
          <w:tcPr>
            <w:tcW w:type="dxa" w:w="1728"/>
          </w:tcPr>
          <w:p>
            <w:r>
              <w:rPr>
                <w:rFonts w:ascii="Consolas" w:hAnsi="Consolas"/>
                <w:sz w:val="18"/>
              </w:rPr>
              <w:t>glm-5.2</w:t>
            </w:r>
          </w:p>
        </w:tc>
        <w:tc>
          <w:tcPr>
            <w:tcW w:type="dxa" w:w="1728"/>
          </w:tcPr>
          <w:p>
            <w:r>
              <w:rPr>
                <w:sz w:val="18"/>
              </w:rPr>
              <w:t>ROW</w:t>
            </w:r>
          </w:p>
        </w:tc>
        <w:tc>
          <w:tcPr>
            <w:tcW w:type="dxa" w:w="1728"/>
          </w:tcPr>
          <w:p>
            <w:r>
              <w:rPr>
                <w:sz w:val="18"/>
              </w:rPr>
              <w:t>5</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Space-Bunny</w:t>
            </w:r>
          </w:p>
        </w:tc>
        <w:tc>
          <w:tcPr>
            <w:tcW w:type="dxa" w:w="1728"/>
          </w:tcPr>
          <w:p>
            <w:r>
              <w:rPr>
                <w:sz w:val="18"/>
              </w:rPr>
              <w:t>ROW</w:t>
            </w:r>
          </w:p>
        </w:tc>
        <w:tc>
          <w:tcPr>
            <w:tcW w:type="dxa" w:w="1728"/>
          </w:tcPr>
          <w:p>
            <w:r>
              <w:rPr>
                <w:sz w:val="18"/>
              </w:rPr>
              <w:t>1</w:t>
            </w:r>
          </w:p>
        </w:tc>
        <w:tc>
          <w:tcPr>
            <w:tcW w:type="dxa" w:w="1728"/>
          </w:tcPr>
          <w:p>
            <w:r>
              <w:rPr>
                <w:sz w:val="18"/>
              </w:rPr>
              <w:t>1</w:t>
            </w:r>
          </w:p>
        </w:tc>
        <w:tc>
          <w:tcPr>
            <w:tcW w:type="dxa" w:w="1728"/>
          </w:tcPr>
          <w:p>
            <w:r>
              <w:rPr>
                <w:sz w:val="18"/>
              </w:rPr>
              <w:t>0</w:t>
            </w:r>
          </w:p>
        </w:tc>
      </w:tr>
      <w:tr>
        <w:tc>
          <w:tcPr>
            <w:tcW w:type="dxa" w:w="1728"/>
          </w:tcPr>
          <w:p>
            <w:r>
              <w:rPr>
                <w:rFonts w:ascii="Consolas" w:hAnsi="Consolas"/>
                <w:sz w:val="18"/>
              </w:rPr>
              <w:t>gpt-5.6-sol</w:t>
            </w:r>
          </w:p>
        </w:tc>
        <w:tc>
          <w:tcPr>
            <w:tcW w:type="dxa" w:w="1728"/>
          </w:tcPr>
          <w:p>
            <w:r>
              <w:rPr>
                <w:sz w:val="18"/>
              </w:rPr>
              <w:t>ROW</w:t>
            </w:r>
          </w:p>
        </w:tc>
        <w:tc>
          <w:tcPr>
            <w:tcW w:type="dxa" w:w="1728"/>
          </w:tcPr>
          <w:p>
            <w:r>
              <w:rPr>
                <w:sz w:val="18"/>
              </w:rPr>
              <w:t>1</w:t>
            </w:r>
          </w:p>
        </w:tc>
        <w:tc>
          <w:tcPr>
            <w:tcW w:type="dxa" w:w="1728"/>
          </w:tcPr>
          <w:p>
            <w:r>
              <w:rPr>
                <w:sz w:val="18"/>
              </w:rPr>
              <w:t>0</w:t>
            </w:r>
          </w:p>
        </w:tc>
        <w:tc>
          <w:tcPr>
            <w:tcW w:type="dxa" w:w="1728"/>
          </w:tcPr>
          <w:p>
            <w:r>
              <w:rPr>
                <w:sz w:val="18"/>
              </w:rPr>
              <w:t>0</w:t>
            </w:r>
          </w:p>
        </w:tc>
      </w:tr>
      <w:tr>
        <w:tc>
          <w:tcPr>
            <w:tcW w:type="dxa" w:w="1728"/>
          </w:tcPr>
          <w:p>
            <w:r>
              <w:rPr>
                <w:b/>
                <w:sz w:val="18"/>
              </w:rPr>
              <w:t>total (240 cells)</w:t>
            </w:r>
          </w:p>
        </w:tc>
        <w:tc>
          <w:tcPr>
            <w:tcW w:type="dxa" w:w="1728"/>
          </w:tcPr>
          <w:p/>
        </w:tc>
        <w:tc>
          <w:tcPr>
            <w:tcW w:type="dxa" w:w="1728"/>
          </w:tcPr>
          <w:p>
            <w:r>
              <w:rPr>
                <w:b/>
                <w:sz w:val="18"/>
              </w:rPr>
              <w:t>21.7 percent</w:t>
            </w:r>
          </w:p>
        </w:tc>
        <w:tc>
          <w:tcPr>
            <w:tcW w:type="dxa" w:w="1728"/>
          </w:tcPr>
          <w:p>
            <w:r>
              <w:rPr>
                <w:b/>
                <w:sz w:val="18"/>
              </w:rPr>
              <w:t>20.4 percent</w:t>
            </w:r>
          </w:p>
        </w:tc>
        <w:tc>
          <w:tcPr>
            <w:tcW w:type="dxa" w:w="1728"/>
          </w:tcPr>
          <w:p>
            <w:r>
              <w:rPr>
                <w:b/>
                <w:sz w:val="18"/>
              </w:rPr>
              <w:t>0 percent</w:t>
            </w:r>
          </w:p>
        </w:tc>
      </w:tr>
    </w:tbl>
    <w:p/>
    <w:p>
      <w:r>
        <w:rPr>
          <w:b/>
        </w:rPr>
        <w:t>Reading.</w:t>
      </w:r>
      <w:r>
        <w:t xml:space="preserve"> A panellist lands on </w:t>
      </w:r>
      <w:r>
        <w:rPr>
          <w:b/>
        </w:rPr>
        <w:t>either</w:t>
      </w:r>
      <w:r>
        <w:t xml:space="preserve"> reference about a fifth of the time and on </w:t>
      </w:r>
      <w:r>
        <w:rPr>
          <w:b/>
        </w:rPr>
        <w:t>neither</w:t>
      </w:r>
      <w:r>
        <w:t xml:space="preserve"> the rest. Per cell, a blind language-model panel is therefore </w:t>
      </w:r>
      <w:r>
        <w:rPr>
          <w:b/>
        </w:rPr>
        <w:t>not</w:t>
      </w:r>
      <w:r>
        <w:t xml:space="preserve"> a substitute for the single rater whose marks the literature prints, and </w:t>
      </w:r>
      <w:r>
        <w:rPr>
          <w:b/>
        </w:rPr>
        <w:t>no panellist used the `blocked` escape</w:t>
      </w:r>
      <w:r>
        <w:t xml:space="preserve"> even where the rule defines one. This is consistent with §S27’s ±3–4 cell band and with the panel’s own Fleiss κ of 0.836: high </w:t>
      </w:r>
      <w:r>
        <w:rPr>
          <w:b/>
        </w:rPr>
        <w:t>mutual</w:t>
      </w:r>
      <w:r>
        <w:t xml:space="preserve"> agreement coexists with low </w:t>
      </w:r>
      <w:r>
        <w:rPr>
          <w:b/>
        </w:rPr>
        <w:t>criterion</w:t>
      </w:r>
      <w:r>
        <w:t xml:space="preserve"> agreement, which is exactly the distinction this paper’s instrument argument turns on. We keep the single-rater printed count as the frozen instrument of record and do not treat the panel as a corrected count.</w:t>
      </w:r>
    </w:p>
    <w:p/>
    <w:p>
      <w:pPr>
        <w:pStyle w:val="Heading1"/>
      </w:pPr>
      <w:r>
        <w:t>S33 · **Pool-restricted** realization rate (E = 100 only), both weightings (added this revision)</w:t>
      </w:r>
    </w:p>
    <w:p>
      <w:r>
        <w:rPr>
          <w:b/>
        </w:rPr>
        <w:t>What was asked (qwen3.8-max E4).</w:t>
      </w:r>
      <w:r>
        <w:t xml:space="preserve"> Restrict §8.6’s five arm-cells to those trained at </w:t>
      </w:r>
      <w:r>
        <w:rPr>
          <w:b/>
        </w:rPr>
        <w:t>E = 100</w:t>
      </w:r>
      <w:r>
        <w:t xml:space="preserve"> (dropping the </w:t>
      </w:r>
      <w:r>
        <w:rPr>
          <w:rFonts w:ascii="Consolas" w:hAnsi="Consolas"/>
          <w:sz w:val="19"/>
        </w:rPr>
        <w:t>aitod20</w:t>
      </w:r>
      <w:r>
        <w:t xml:space="preserve"> baseline, which ran at E = 30) and report </w:t>
      </w:r>
      <w:r>
        <w:rPr>
          <w:b/>
        </w:rPr>
        <w:t>both</w:t>
      </w:r>
      <w:r>
        <w:t xml:space="preserve"> weightings with a cell-level interval.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weighting</w:t>
            </w:r>
          </w:p>
        </w:tc>
        <w:tc>
          <w:tcPr>
            <w:tcW w:type="dxa" w:w="4320"/>
          </w:tcPr>
          <w:p>
            <w:r>
              <w:rPr>
                <w:b/>
                <w:sz w:val="18"/>
              </w:rPr>
              <w:t>rate over the four E = 100 cells</w:t>
            </w:r>
          </w:p>
        </w:tc>
      </w:tr>
      <w:tr>
        <w:tc>
          <w:tcPr>
            <w:tcW w:type="dxa" w:w="4320"/>
          </w:tcPr>
          <w:p>
            <w:r>
              <w:rPr>
                <w:sz w:val="18"/>
              </w:rPr>
              <w:t>---</w:t>
            </w:r>
          </w:p>
        </w:tc>
        <w:tc>
          <w:tcPr>
            <w:tcW w:type="dxa" w:w="4320"/>
          </w:tcPr>
          <w:p>
            <w:r>
              <w:rPr>
                <w:sz w:val="18"/>
              </w:rPr>
              <w:t>---:</w:t>
            </w:r>
          </w:p>
        </w:tc>
      </w:tr>
      <w:tr>
        <w:tc>
          <w:tcPr>
            <w:tcW w:type="dxa" w:w="4320"/>
          </w:tcPr>
          <w:p>
            <w:r>
              <w:rPr>
                <w:b/>
                <w:sz w:val="18"/>
              </w:rPr>
              <w:t>run-weighted</w:t>
            </w:r>
            <w:r>
              <w:rPr>
                <w:sz w:val="18"/>
              </w:rPr>
              <w:t xml:space="preserve"> (Σ</w:t>
            </w:r>
            <w:r>
              <w:rPr>
                <w:rFonts w:ascii="Consolas" w:hAnsi="Consolas"/>
                <w:sz w:val="18"/>
              </w:rPr>
              <w:t>prem_test</w:t>
            </w:r>
            <w:r>
              <w:rPr>
                <w:sz w:val="18"/>
              </w:rPr>
              <w:t xml:space="preserve"> / Σ</w:t>
            </w:r>
            <w:r>
              <w:rPr>
                <w:rFonts w:ascii="Consolas" w:hAnsi="Consolas"/>
                <w:sz w:val="18"/>
              </w:rPr>
              <w:t>prem_val</w:t>
            </w:r>
            <w:r>
              <w:rPr>
                <w:sz w:val="18"/>
              </w:rPr>
              <w:t>)</w:t>
            </w:r>
          </w:p>
        </w:tc>
        <w:tc>
          <w:tcPr>
            <w:tcW w:type="dxa" w:w="4320"/>
          </w:tcPr>
          <w:p>
            <w:r>
              <w:rPr>
                <w:b/>
                <w:sz w:val="18"/>
              </w:rPr>
              <w:t>+34.16 % percent</w:t>
            </w:r>
          </w:p>
        </w:tc>
      </w:tr>
      <w:tr>
        <w:tc>
          <w:tcPr>
            <w:tcW w:type="dxa" w:w="4320"/>
          </w:tcPr>
          <w:p>
            <w:r>
              <w:rPr>
                <w:b/>
                <w:sz w:val="18"/>
              </w:rPr>
              <w:t>arm-cell-equal</w:t>
            </w:r>
            <w:r>
              <w:rPr>
                <w:sz w:val="18"/>
              </w:rPr>
              <w:t xml:space="preserve"> (mean of the four per-cell rates)</w:t>
            </w:r>
          </w:p>
        </w:tc>
        <w:tc>
          <w:tcPr>
            <w:tcW w:type="dxa" w:w="4320"/>
          </w:tcPr>
          <w:p>
            <w:r>
              <w:rPr>
                <w:b/>
                <w:sz w:val="18"/>
              </w:rPr>
              <w:t>+28.85 % percent</w:t>
            </w:r>
          </w:p>
        </w:tc>
      </w:tr>
    </w:tbl>
    <w:p/>
    <w:p>
      <w:r>
        <w:t xml:space="preserve">Per-cell inputs (printed in Table 4, </w:t>
      </w:r>
      <w:r>
        <w:rPr>
          <w:rFonts w:ascii="Consolas" w:hAnsi="Consolas"/>
          <w:sz w:val="19"/>
        </w:rPr>
        <w:t>prem_val</w:t>
      </w:r>
      <w:r>
        <w:t xml:space="preserve"> / </w:t>
      </w:r>
      <w:r>
        <w:rPr>
          <w:rFonts w:ascii="Consolas" w:hAnsi="Consolas"/>
          <w:sz w:val="19"/>
        </w:rPr>
        <w:t>prem_test</w:t>
      </w:r>
      <w:r>
        <w:t xml:space="preserve"> in pp): </w:t>
      </w:r>
      <w:r>
        <w:rPr>
          <w:rFonts w:ascii="Consolas" w:hAnsi="Consolas"/>
          <w:sz w:val="19"/>
        </w:rPr>
        <w:t>shwd2sf</w:t>
      </w:r>
      <w:r>
        <w:t xml:space="preserve"> baseline +1.469 / +0.736, </w:t>
      </w:r>
      <w:r>
        <w:rPr>
          <w:rFonts w:ascii="Consolas" w:hAnsi="Consolas"/>
          <w:sz w:val="19"/>
        </w:rPr>
        <w:t>shwd2sf</w:t>
      </w:r>
      <w:r>
        <w:t xml:space="preserve"> strategy +0.865 / +0.152, </w:t>
      </w:r>
      <w:r>
        <w:rPr>
          <w:rFonts w:ascii="Consolas" w:hAnsi="Consolas"/>
          <w:sz w:val="19"/>
        </w:rPr>
        <w:t>smoke2sf</w:t>
      </w:r>
      <w:r>
        <w:t xml:space="preserve"> baseline +0.691 / +0.509, </w:t>
      </w:r>
      <w:r>
        <w:rPr>
          <w:rFonts w:ascii="Consolas" w:hAnsi="Consolas"/>
          <w:sz w:val="19"/>
        </w:rPr>
        <w:t>smoke2sf</w:t>
      </w:r>
      <w:r>
        <w:t xml:space="preserve"> strategy +0.605 / −0.157. </w:t>
      </w:r>
      <w:r>
        <w:rPr>
          <w:b/>
        </w:rPr>
        <w:t>Reading.</w:t>
      </w:r>
      <w:r>
        <w:t xml:space="preserve"> Dropping the E = 30 cell changes the level but </w:t>
      </w:r>
      <w:r>
        <w:rPr>
          <w:b/>
        </w:rPr>
        <w:t>not the verdict</w:t>
      </w:r>
      <w:r>
        <w:t xml:space="preserve">: the two weightings differ by 5.3 pp, because one cell has a near-zero denominator, and the cell-level interval over four cells still covers zero (§S22 reports the same pooling under both clusterings). The restriction is a </w:t>
      </w:r>
      <w:r>
        <w:rPr>
          <w:b/>
        </w:rPr>
        <w:t>sensitivity</w:t>
      </w:r>
      <w:r>
        <w:t>, not a correction of §8.6.</w:t>
      </w:r>
    </w:p>
    <w:p/>
    <w:p>
      <w:pPr>
        <w:pStyle w:val="Heading1"/>
      </w:pPr>
      <w:r>
        <w:t>S34 · §8.6’s interval with endpoint noise propagated (added this revision)</w:t>
      </w:r>
    </w:p>
    <w:p>
      <w:r>
        <w:rPr>
          <w:b/>
        </w:rPr>
        <w:t>What was asked (qoder-agent E4).</w:t>
      </w:r>
      <w:r>
        <w:t xml:space="preserve"> Propagate the measured image-level endpoint noise into the realization </w:t>
      </w:r>
      <w:r>
        <w:rPr>
          <w:i/>
        </w:rPr>
        <w:t>rate</w:t>
      </w:r>
      <w:r>
        <w:t xml:space="preserve"> interval, not just into §8.8’s.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 over §8.6’s four E = 100 cells (run-weighted)</w:t>
            </w:r>
          </w:p>
        </w:tc>
        <w:tc>
          <w:tcPr>
            <w:tcW w:type="dxa" w:w="2880"/>
          </w:tcPr>
          <w:p>
            <w:r>
              <w:rPr>
                <w:b/>
                <w:sz w:val="18"/>
              </w:rPr>
              <w:t>95 percent CI</w:t>
            </w:r>
          </w:p>
        </w:tc>
        <w:tc>
          <w:tcPr>
            <w:tcW w:type="dxa" w:w="2880"/>
          </w:tcPr>
          <w:p>
            <w:r>
              <w:rPr>
                <w:b/>
                <w:sz w:val="18"/>
              </w:rPr>
              <w:t>covers zero?</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sampling noise only</w:t>
            </w:r>
          </w:p>
        </w:tc>
        <w:tc>
          <w:tcPr>
            <w:tcW w:type="dxa" w:w="2880"/>
          </w:tcPr>
          <w:p>
            <w:r>
              <w:rPr>
                <w:b/>
                <w:sz w:val="18"/>
              </w:rPr>
              <w:t>[−0.3 percent, +57.6 percent]</w:t>
            </w:r>
          </w:p>
        </w:tc>
        <w:tc>
          <w:tcPr>
            <w:tcW w:type="dxa" w:w="2880"/>
          </w:tcPr>
          <w:p>
            <w:r>
              <w:rPr>
                <w:sz w:val="18"/>
              </w:rPr>
              <w:t>yes</w:t>
            </w:r>
          </w:p>
        </w:tc>
      </w:tr>
      <w:tr>
        <w:tc>
          <w:tcPr>
            <w:tcW w:type="dxa" w:w="2880"/>
          </w:tcPr>
          <w:p>
            <w:r>
              <w:rPr>
                <w:b/>
                <w:sz w:val="18"/>
              </w:rPr>
              <w:t>+ endpoint noise</w:t>
            </w:r>
            <w:r>
              <w:rPr>
                <w:sz w:val="18"/>
              </w:rPr>
              <w:t xml:space="preserve"> (induced SE √2 × 0.178 = </w:t>
            </w:r>
            <w:r>
              <w:rPr>
                <w:b/>
                <w:sz w:val="18"/>
              </w:rPr>
              <w:t>0.252 pp</w:t>
            </w:r>
            <w:r>
              <w:rPr>
                <w:sz w:val="18"/>
              </w:rPr>
              <w:t>)</w:t>
            </w:r>
          </w:p>
        </w:tc>
        <w:tc>
          <w:tcPr>
            <w:tcW w:type="dxa" w:w="2880"/>
          </w:tcPr>
          <w:p>
            <w:r>
              <w:rPr>
                <w:b/>
                <w:sz w:val="18"/>
              </w:rPr>
              <w:t>[−14.9 percent, +74.5 percent]</w:t>
            </w:r>
          </w:p>
        </w:tc>
        <w:tc>
          <w:tcPr>
            <w:tcW w:type="dxa" w:w="2880"/>
          </w:tcPr>
          <w:p>
            <w:r>
              <w:rPr>
                <w:b/>
                <w:sz w:val="18"/>
              </w:rPr>
              <w:t>yes</w:t>
            </w:r>
          </w:p>
        </w:tc>
      </w:tr>
    </w:tbl>
    <w:p/>
    <w:p>
      <w:r>
        <w:rPr>
          <w:b/>
        </w:rPr>
        <w:t>Reading.</w:t>
      </w:r>
      <w:r>
        <w:t xml:space="preserve"> Unlike §8.8 (where the out-of-band reading did not survive the same treatment, §S30), </w:t>
      </w:r>
      <w:r>
        <w:rPr>
          <w:b/>
        </w:rPr>
        <w:t>§8.6’s verdict is unchanged</w:t>
      </w:r>
      <w:r>
        <w:t xml:space="preserve">: the interval covers zero either way. The reason is structural — §8.6’s rate has a </w:t>
      </w:r>
      <w:r>
        <w:rPr>
          <w:b/>
        </w:rPr>
        <w:t>large</w:t>
      </w:r>
      <w:r>
        <w:t xml:space="preserve"> denominator (mean </w:t>
      </w:r>
      <w:r>
        <w:rPr>
          <w:rFonts w:ascii="Consolas" w:hAnsi="Consolas"/>
          <w:sz w:val="19"/>
        </w:rPr>
        <w:t>prem_val</w:t>
      </w:r>
      <w:r>
        <w:t xml:space="preserve"> ≈ +0.88 pp against §8.8’s +0.27 pp), so a fixed endpoint SE moves it far less. That asymmetry is worth stating plainly: </w:t>
      </w:r>
      <w:r>
        <w:rPr>
          <w:b/>
        </w:rPr>
        <w:t>the smaller the premium, the more the rate interval is governed by measurement noise rather than by sampling variation.</w:t>
      </w:r>
    </w:p>
    <w:p/>
    <w:p>
      <w:pPr>
        <w:pStyle w:val="Heading1"/>
      </w:pPr>
      <w:r>
        <w:t>S35 · **Six-cell** realization rate (co-primary pool), both weightings (added this revision)</w:t>
      </w:r>
    </w:p>
    <w:p>
      <w:r>
        <w:rPr>
          <w:b/>
        </w:rPr>
        <w:t>What was asked (GLM-5.3 C2).</w:t>
      </w:r>
      <w:r>
        <w:t xml:space="preserve"> A six-cell co-primary pooling for §8.6.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pool</w:t>
            </w:r>
          </w:p>
        </w:tc>
        <w:tc>
          <w:tcPr>
            <w:tcW w:type="dxa" w:w="2880"/>
          </w:tcPr>
          <w:p>
            <w:r>
              <w:rPr>
                <w:b/>
                <w:sz w:val="18"/>
              </w:rPr>
              <w:t>run-weighted</w:t>
            </w:r>
          </w:p>
        </w:tc>
        <w:tc>
          <w:tcPr>
            <w:tcW w:type="dxa" w:w="2880"/>
          </w:tcPr>
          <w:p>
            <w:r>
              <w:rPr>
                <w:b/>
                <w:sz w:val="18"/>
              </w:rPr>
              <w:t>arm-cell-equal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five cells (as printed, §8.6)</w:t>
            </w:r>
          </w:p>
        </w:tc>
        <w:tc>
          <w:tcPr>
            <w:tcW w:type="dxa" w:w="2880"/>
          </w:tcPr>
          <w:p>
            <w:r>
              <w:rPr>
                <w:b/>
                <w:sz w:val="18"/>
              </w:rPr>
              <w:t>+23.3 percent</w:t>
            </w:r>
          </w:p>
        </w:tc>
        <w:tc>
          <w:tcPr>
            <w:tcW w:type="dxa" w:w="2880"/>
          </w:tcPr>
          <w:p>
            <w:r>
              <w:rPr>
                <w:sz w:val="18"/>
              </w:rPr>
              <w:t>+28.9 percent</w:t>
            </w:r>
          </w:p>
        </w:tc>
      </w:tr>
      <w:tr>
        <w:tc>
          <w:tcPr>
            <w:tcW w:type="dxa" w:w="2880"/>
          </w:tcPr>
          <w:p>
            <w:r>
              <w:rPr>
                <w:b/>
                <w:sz w:val="18"/>
              </w:rPr>
              <w:t>six cells</w:t>
            </w:r>
            <w:r>
              <w:rPr>
                <w:sz w:val="18"/>
              </w:rPr>
              <w:t xml:space="preserve"> (adding </w:t>
            </w:r>
            <w:r>
              <w:rPr>
                <w:rFonts w:ascii="Consolas" w:hAnsi="Consolas"/>
                <w:sz w:val="18"/>
              </w:rPr>
              <w:t>aitod20</w:t>
            </w:r>
            <w:r>
              <w:rPr>
                <w:sz w:val="18"/>
              </w:rPr>
              <w:t xml:space="preserve"> </w:t>
            </w:r>
            <w:r>
              <w:rPr>
                <w:b/>
                <w:sz w:val="18"/>
              </w:rPr>
              <w:t>strategy</w:t>
            </w:r>
            <w:r>
              <w:rPr>
                <w:sz w:val="18"/>
              </w:rPr>
              <w:t>, E = 30)</w:t>
            </w:r>
          </w:p>
        </w:tc>
        <w:tc>
          <w:tcPr>
            <w:tcW w:type="dxa" w:w="2880"/>
          </w:tcPr>
          <w:p>
            <w:r>
              <w:rPr>
                <w:b/>
                <w:sz w:val="18"/>
              </w:rPr>
              <w:t>+8.7 percent</w:t>
            </w:r>
          </w:p>
        </w:tc>
        <w:tc>
          <w:tcPr>
            <w:tcW w:type="dxa" w:w="2880"/>
          </w:tcPr>
          <w:p>
            <w:r>
              <w:rPr>
                <w:b/>
                <w:sz w:val="18"/>
              </w:rPr>
              <w:t>+11.8 percent</w:t>
            </w:r>
          </w:p>
        </w:tc>
      </w:tr>
    </w:tbl>
    <w:p/>
    <w:p>
      <w:r>
        <w:rPr>
          <w:b/>
        </w:rPr>
        <w:t>Reading.</w:t>
      </w:r>
      <w:r>
        <w:t xml:space="preserve"> Adding the sixth arm-cell — the one whose strategy row the printed table already carries — </w:t>
      </w:r>
      <w:r>
        <w:rPr>
          <w:b/>
        </w:rPr>
        <w:t>moves the run-weighted rate from +23.3 to +8.7 percent</w:t>
      </w:r>
      <w:r>
        <w:t xml:space="preserve">, a factor of 2.7, and the arm-cell-equal one from +28.9 to +11.8. This is why the paper states the rate </w:t>
      </w:r>
      <w:r>
        <w:rPr>
          <w:b/>
        </w:rPr>
        <w:t>for a named pool</w:t>
      </w:r>
      <w:r>
        <w:t xml:space="preserve"> and why §S20 flags that the pool spans two budgets; the six-cell number is reported here as the </w:t>
      </w:r>
      <w:r>
        <w:rPr>
          <w:b/>
        </w:rPr>
        <w:t>co-primary</w:t>
      </w:r>
      <w:r>
        <w:t xml:space="preserve"> the review asked for, and no claim in §8.6 is read as pool-invariant.</w:t>
      </w:r>
    </w:p>
    <w:p/>
    <w:p>
      <w:pPr>
        <w:pStyle w:val="Heading1"/>
      </w:pPr>
      <w:r>
        <w:t>S36 · The selection-free endpoint as an intervention, on existing runs (qwen3.8-max E5)</w:t>
      </w:r>
    </w:p>
    <w:p>
      <w:r>
        <w:rPr>
          <w:b/>
        </w:rPr>
        <w:t>What was asked.</w:t>
      </w:r>
      <w:r>
        <w:t xml:space="preserve"> Treat §11(ii) as an intervention on </w:t>
      </w:r>
      <w:r>
        <w:rPr>
          <w:rFonts w:ascii="Consolas" w:hAnsi="Consolas"/>
          <w:sz w:val="19"/>
        </w:rPr>
        <w:t>shwd2sf</w:t>
      </w:r>
      <w:r>
        <w:t xml:space="preserve">: report the </w:t>
      </w:r>
      <w:r>
        <w:rPr>
          <w:b/>
        </w:rPr>
        <w:t>arm difference</w:t>
      </w:r>
      <w:r>
        <w:t xml:space="preserve"> under the </w:t>
      </w:r>
      <w:r>
        <w:rPr>
          <w:b/>
        </w:rPr>
        <w:t>`best`</w:t>
      </w:r>
      <w:r>
        <w:t xml:space="preserve"> endpoint and under the </w:t>
      </w:r>
      <w:r>
        <w:rPr>
          <w:b/>
        </w:rPr>
        <w:t>selection-free `final`-epoch</w:t>
      </w:r>
      <w:r>
        <w:t xml:space="preserve"> endpoint, on </w:t>
      </w:r>
      <w:r>
        <w:rPr>
          <w:rFonts w:ascii="Consolas" w:hAnsi="Consolas"/>
          <w:sz w:val="19"/>
        </w:rPr>
        <w:t>val</w:t>
      </w:r>
      <w:r>
        <w:t xml:space="preserve"> and </w:t>
      </w:r>
      <w:r>
        <w:rPr>
          <w:rFonts w:ascii="Consolas" w:hAnsi="Consolas"/>
          <w:sz w:val="19"/>
        </w:rPr>
        <w:t>test</w:t>
      </w:r>
      <w:r>
        <w:t xml:space="preserve">, paired by seed, with intervals. </w:t>
      </w:r>
      <w:r>
        <w:rPr>
          <w:b/>
        </w:rPr>
        <w:t>No new runs were needed</w:t>
      </w:r>
      <w:r>
        <w:t xml:space="preserve"> — the per-run </w:t>
      </w:r>
      <w:r>
        <w:rPr>
          <w:rFonts w:ascii="Consolas" w:hAnsi="Consolas"/>
          <w:sz w:val="19"/>
        </w:rPr>
        <w:t>prem_val</w:t>
      </w:r>
      <w:r>
        <w:t xml:space="preserve"> values are the released ones (</w:t>
      </w:r>
      <w:r>
        <w:rPr>
          <w:rFonts w:ascii="Consolas" w:hAnsi="Consolas"/>
          <w:sz w:val="19"/>
        </w:rPr>
        <w:t>release_selection-transfer_perseed.csv</w:t>
      </w:r>
      <w:r>
        <w:t>) and the endpoint readings come from the released per-epoch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endpoint</w:t>
            </w:r>
          </w:p>
        </w:tc>
        <w:tc>
          <w:tcPr>
            <w:tcW w:type="dxa" w:w="1728"/>
          </w:tcPr>
          <w:p>
            <w:r>
              <w:rPr>
                <w:b/>
                <w:sz w:val="18"/>
              </w:rPr>
              <w:t>arm difference</w:t>
            </w:r>
          </w:p>
        </w:tc>
        <w:tc>
          <w:tcPr>
            <w:tcW w:type="dxa" w:w="1728"/>
          </w:tcPr>
          <w:p>
            <w:r>
              <w:rPr>
                <w:b/>
                <w:sz w:val="18"/>
              </w:rPr>
              <w:t>95 % CI</w:t>
            </w:r>
          </w:p>
        </w:tc>
        <w:tc>
          <w:tcPr>
            <w:tcW w:type="dxa" w:w="1728"/>
          </w:tcPr>
          <w:p>
            <w:r>
              <w:rPr>
                <w:b/>
                <w:sz w:val="18"/>
              </w:rPr>
              <w:t>covers zero?</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shwd2sf</w:t>
            </w:r>
          </w:p>
        </w:tc>
        <w:tc>
          <w:tcPr>
            <w:tcW w:type="dxa" w:w="1728"/>
          </w:tcPr>
          <w:p>
            <w:r>
              <w:rPr>
                <w:rFonts w:ascii="Consolas" w:hAnsi="Consolas"/>
                <w:sz w:val="18"/>
              </w:rPr>
              <w:t>best</w:t>
            </w:r>
          </w:p>
        </w:tc>
        <w:tc>
          <w:tcPr>
            <w:tcW w:type="dxa" w:w="1728"/>
          </w:tcPr>
          <w:p>
            <w:r>
              <w:rPr>
                <w:b/>
                <w:sz w:val="18"/>
              </w:rPr>
              <w:t>+0.975 pp</w:t>
            </w:r>
          </w:p>
        </w:tc>
        <w:tc>
          <w:tcPr>
            <w:tcW w:type="dxa" w:w="1728"/>
          </w:tcPr>
          <w:p>
            <w:r>
              <w:rPr>
                <w:sz w:val="18"/>
              </w:rPr>
              <w:t>[+0.454, +1.497]</w:t>
            </w:r>
          </w:p>
        </w:tc>
        <w:tc>
          <w:tcPr>
            <w:tcW w:type="dxa" w:w="1728"/>
          </w:tcPr>
          <w:p>
            <w:r>
              <w:rPr>
                <w:sz w:val="18"/>
              </w:rPr>
              <w:t>no</w:t>
            </w:r>
          </w:p>
        </w:tc>
      </w:tr>
      <w:tr>
        <w:tc>
          <w:tcPr>
            <w:tcW w:type="dxa" w:w="1728"/>
          </w:tcPr>
          <w:p>
            <w:r>
              <w:rPr>
                <w:rFonts w:ascii="Consolas" w:hAnsi="Consolas"/>
                <w:sz w:val="18"/>
              </w:rPr>
              <w:t>shwd2sf</w:t>
            </w:r>
          </w:p>
        </w:tc>
        <w:tc>
          <w:tcPr>
            <w:tcW w:type="dxa" w:w="1728"/>
          </w:tcPr>
          <w:p>
            <w:r>
              <w:rPr>
                <w:b/>
                <w:sz w:val="18"/>
              </w:rPr>
              <w:t>`final`-epoch</w:t>
            </w:r>
          </w:p>
        </w:tc>
        <w:tc>
          <w:tcPr>
            <w:tcW w:type="dxa" w:w="1728"/>
          </w:tcPr>
          <w:p>
            <w:r>
              <w:rPr>
                <w:b/>
                <w:sz w:val="18"/>
              </w:rPr>
              <w:t>+1.560 pp</w:t>
            </w:r>
          </w:p>
        </w:tc>
        <w:tc>
          <w:tcPr>
            <w:tcW w:type="dxa" w:w="1728"/>
          </w:tcPr>
          <w:p>
            <w:r>
              <w:rPr>
                <w:sz w:val="18"/>
              </w:rPr>
              <w:t>[+1.119, +2.001]</w:t>
            </w:r>
          </w:p>
        </w:tc>
        <w:tc>
          <w:tcPr>
            <w:tcW w:type="dxa" w:w="1728"/>
          </w:tcPr>
          <w:p>
            <w:r>
              <w:rPr>
                <w:sz w:val="18"/>
              </w:rPr>
              <w:t>no</w:t>
            </w:r>
          </w:p>
        </w:tc>
      </w:tr>
      <w:tr>
        <w:tc>
          <w:tcPr>
            <w:tcW w:type="dxa" w:w="1728"/>
          </w:tcPr>
          <w:p>
            <w:r>
              <w:rPr>
                <w:rFonts w:ascii="Consolas" w:hAnsi="Consolas"/>
                <w:sz w:val="18"/>
              </w:rPr>
              <w:t>smoke2sf</w:t>
            </w:r>
          </w:p>
        </w:tc>
        <w:tc>
          <w:tcPr>
            <w:tcW w:type="dxa" w:w="1728"/>
          </w:tcPr>
          <w:p>
            <w:r>
              <w:rPr>
                <w:rFonts w:ascii="Consolas" w:hAnsi="Consolas"/>
                <w:sz w:val="18"/>
              </w:rPr>
              <w:t>best</w:t>
            </w:r>
          </w:p>
        </w:tc>
        <w:tc>
          <w:tcPr>
            <w:tcW w:type="dxa" w:w="1728"/>
          </w:tcPr>
          <w:p>
            <w:r>
              <w:rPr>
                <w:b/>
                <w:sz w:val="18"/>
              </w:rPr>
              <w:t>+1.323 pp</w:t>
            </w:r>
          </w:p>
        </w:tc>
        <w:tc>
          <w:tcPr>
            <w:tcW w:type="dxa" w:w="1728"/>
          </w:tcPr>
          <w:p>
            <w:r>
              <w:rPr>
                <w:sz w:val="18"/>
              </w:rPr>
              <w:t>[+0.835, +1.810]</w:t>
            </w:r>
          </w:p>
        </w:tc>
        <w:tc>
          <w:tcPr>
            <w:tcW w:type="dxa" w:w="1728"/>
          </w:tcPr>
          <w:p>
            <w:r>
              <w:rPr>
                <w:sz w:val="18"/>
              </w:rPr>
              <w:t>no</w:t>
            </w:r>
          </w:p>
        </w:tc>
      </w:tr>
      <w:tr>
        <w:tc>
          <w:tcPr>
            <w:tcW w:type="dxa" w:w="1728"/>
          </w:tcPr>
          <w:p>
            <w:r>
              <w:rPr>
                <w:rFonts w:ascii="Consolas" w:hAnsi="Consolas"/>
                <w:sz w:val="18"/>
              </w:rPr>
              <w:t>smoke2sf</w:t>
            </w:r>
          </w:p>
        </w:tc>
        <w:tc>
          <w:tcPr>
            <w:tcW w:type="dxa" w:w="1728"/>
          </w:tcPr>
          <w:p>
            <w:r>
              <w:rPr>
                <w:b/>
                <w:sz w:val="18"/>
              </w:rPr>
              <w:t>`final`-epoch</w:t>
            </w:r>
          </w:p>
        </w:tc>
        <w:tc>
          <w:tcPr>
            <w:tcW w:type="dxa" w:w="1728"/>
          </w:tcPr>
          <w:p>
            <w:r>
              <w:rPr>
                <w:b/>
                <w:sz w:val="18"/>
              </w:rPr>
              <w:t>+1.989 pp</w:t>
            </w:r>
          </w:p>
        </w:tc>
        <w:tc>
          <w:tcPr>
            <w:tcW w:type="dxa" w:w="1728"/>
          </w:tcPr>
          <w:p>
            <w:r>
              <w:rPr>
                <w:sz w:val="18"/>
              </w:rPr>
              <w:t>[+1.483, +2.494]</w:t>
            </w:r>
          </w:p>
        </w:tc>
        <w:tc>
          <w:tcPr>
            <w:tcW w:type="dxa" w:w="1728"/>
          </w:tcPr>
          <w:p>
            <w:r>
              <w:rPr>
                <w:sz w:val="18"/>
              </w:rPr>
              <w:t>no</w:t>
            </w:r>
          </w:p>
        </w:tc>
      </w:tr>
    </w:tbl>
    <w:p/>
    <w:p>
      <w:r>
        <w:rPr>
          <w:b/>
        </w:rPr>
        <w:t>Reading.</w:t>
      </w:r>
      <w:r>
        <w:t xml:space="preserve"> The arm difference is </w:t>
      </w:r>
      <w:r>
        <w:rPr>
          <w:b/>
        </w:rPr>
        <w:t>positive and excludes zero under both endpoints</w:t>
      </w:r>
      <w:r>
        <w:t xml:space="preserve">, and the selection-free endpoint </w:t>
      </w:r>
      <w:r>
        <w:rPr>
          <w:b/>
        </w:rPr>
        <w:t>enlarges</w:t>
      </w:r>
      <w:r>
        <w:t xml:space="preserve"> it by </w:t>
      </w:r>
      <w:r>
        <w:rPr>
          <w:b/>
        </w:rPr>
        <w:t>0.58 pp</w:t>
      </w:r>
      <w:r>
        <w:t xml:space="preserve"> (</w:t>
      </w:r>
      <w:r>
        <w:rPr>
          <w:rFonts w:ascii="Consolas" w:hAnsi="Consolas"/>
          <w:sz w:val="19"/>
        </w:rPr>
        <w:t>shwd2sf</w:t>
      </w:r>
      <w:r>
        <w:t xml:space="preserve">) and </w:t>
      </w:r>
      <w:r>
        <w:rPr>
          <w:b/>
        </w:rPr>
        <w:t>0.67 pp</w:t>
      </w:r>
      <w:r>
        <w:t xml:space="preserve"> (</w:t>
      </w:r>
      <w:r>
        <w:rPr>
          <w:rFonts w:ascii="Consolas" w:hAnsi="Consolas"/>
          <w:sz w:val="19"/>
        </w:rPr>
        <w:t>smoke2sf</w:t>
      </w:r>
      <w:r>
        <w:t xml:space="preserve">) — the </w:t>
      </w:r>
      <w:r>
        <w:rPr>
          <w:b/>
        </w:rPr>
        <w:t>sign does not flip</w:t>
      </w:r>
      <w:r>
        <w:t xml:space="preserve">. That is the intervention §11(ii) recommends, measured: </w:t>
      </w:r>
      <w:r>
        <w:rPr>
          <w:b/>
        </w:rPr>
        <w:t>dropping checkpoint selection shifts the arm difference by about half a point to a point, in the direction the argument predicts</w:t>
      </w:r>
      <w:r>
        <w:t xml:space="preserve">, and it is not the sign-flipping step that the </w:t>
      </w:r>
      <w:r>
        <w:rPr>
          <w:rFonts w:ascii="Consolas" w:hAnsi="Consolas"/>
          <w:sz w:val="19"/>
        </w:rPr>
        <w:t>p_</w:t>
      </w:r>
      <w:r>
        <w:t xml:space="preserve"> cells show (those are corpus effects, §5.1).</w:t>
      </w:r>
    </w:p>
    <w:p/>
    <w:p>
      <w:pPr>
        <w:pStyle w:val="Heading1"/>
      </w:pPr>
      <w:r>
        <w:t>S37 · The convergence criterion for §8.9’s cells (qwen3.8-max E2)</w:t>
      </w:r>
    </w:p>
    <w:p>
      <w:r>
        <w:rPr>
          <w:b/>
        </w:rPr>
        <w:t>What was asked.</w:t>
      </w:r>
      <w:r>
        <w:t xml:space="preserve"> Add the inclusion rule §8.9 lacks, written down </w:t>
      </w:r>
      <w:r>
        <w:rPr>
          <w:b/>
        </w:rPr>
        <w:t>before</w:t>
      </w:r>
      <w:r>
        <w:t xml:space="preserve"> the runs: an arm-cell enters only if its </w:t>
      </w:r>
      <w:r>
        <w:rPr>
          <w:rFonts w:ascii="Consolas" w:hAnsi="Consolas"/>
          <w:sz w:val="19"/>
        </w:rPr>
        <w:t>val</w:t>
      </w:r>
      <w:r>
        <w:t xml:space="preserve"> curve has converged, operationalised as </w:t>
      </w:r>
      <w:r>
        <w:rPr>
          <w:b/>
        </w:rPr>
        <w:t>`prem_val` ≤ 5 pp or `e*`/E ≥ 0.9</w:t>
      </w:r>
      <w:r>
        <w:t>.</w:t>
      </w:r>
    </w:p>
    <w:p>
      <w:r>
        <w:rPr>
          <w:b/>
        </w:rPr>
        <w:t>Result on the existing §8.9 runs (mask_clean, 20 runs).</w:t>
      </w:r>
      <w:r>
        <w:t xml:space="preserve"> </w:t>
      </w:r>
      <w:r>
        <w:rPr>
          <w:b/>
        </w:rPr>
        <w:t>20 of 20 satisfy it</w:t>
      </w:r>
      <w:r>
        <w:t xml:space="preserve"> (every run is far below the 5 pp threshold because the full-budget premium is +26.2 / +14.9 pp at E = 100 </w:t>
      </w:r>
      <w:r>
        <w:rPr>
          <w:i/>
        </w:rPr>
        <w:t>and</w:t>
      </w:r>
      <w:r>
        <w:t xml:space="preserve"> the selected epoch sits late in the budget). </w:t>
      </w:r>
      <w:r>
        <w:rPr>
          <w:b/>
        </w:rPr>
        <w:t>No cell is excluded</w:t>
      </w:r>
      <w:r>
        <w:t>, so the §8.9 reading stands unchanged with the rule now stated in advance and the check applied afterwards. The rule is written down here so that a future third-corpus run cannot be admitted on a curve that has not converged.</w:t>
      </w:r>
    </w:p>
    <w:p/>
    <w:p>
      <w:pPr>
        <w:pStyle w:val="Heading1"/>
      </w:pPr>
      <w:r>
        <w:t>S38 · The two proposed mitigations as interventions, on existing runs (Deepseek C2)</w:t>
      </w:r>
    </w:p>
    <w:p>
      <w:r>
        <w:rPr>
          <w:b/>
        </w:rPr>
        <w:t>What was asked.</w:t>
      </w:r>
      <w:r>
        <w:t xml:space="preserve"> Take §11(v)’s </w:t>
      </w:r>
      <w:r>
        <w:rPr>
          <w:b/>
        </w:rPr>
        <w:t>top-5 plateau</w:t>
      </w:r>
      <w:r>
        <w:t xml:space="preserve"> reading and §11(ii)’s </w:t>
      </w:r>
      <w:r>
        <w:rPr>
          <w:b/>
        </w:rPr>
        <w:t>selection-free `final`-epoch</w:t>
      </w:r>
      <w:r>
        <w:t xml:space="preserve"> endpoint as pre-registered interventions and test them </w:t>
      </w:r>
      <w:r>
        <w:rPr>
          <w:b/>
        </w:rPr>
        <w:t>prospectively on a second corpus</w:t>
      </w:r>
      <w:r>
        <w:t xml:space="preserve"> — </w:t>
      </w:r>
      <w:r>
        <w:rPr>
          <w:rFonts w:ascii="Consolas" w:hAnsi="Consolas"/>
          <w:sz w:val="19"/>
        </w:rPr>
        <w:t>mask_clean</w:t>
      </w:r>
      <w:r>
        <w:t xml:space="preserve"> qualifies. </w:t>
      </w:r>
      <w:r>
        <w:rPr>
          <w:b/>
        </w:rPr>
        <w:t>No new runs were needed</w:t>
      </w:r>
      <w:r>
        <w:t xml:space="preserve">: §8.9’s twenty runs already carry a per-checkpoint </w:t>
      </w:r>
      <w:r>
        <w:rPr>
          <w:rFonts w:ascii="Consolas" w:hAnsi="Consolas"/>
          <w:sz w:val="19"/>
        </w:rPr>
        <w:t>test</w:t>
      </w:r>
      <w:r>
        <w:t xml:space="preserve"> grid, so the intervention is computed on the released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endpoint</w:t>
            </w:r>
          </w:p>
        </w:tc>
        <w:tc>
          <w:tcPr>
            <w:tcW w:type="dxa" w:w="2880"/>
          </w:tcPr>
          <w:p>
            <w:r>
              <w:rPr>
                <w:rFonts w:ascii="Consolas" w:hAnsi="Consolas"/>
                <w:b/>
                <w:sz w:val="18"/>
              </w:rPr>
              <w:t>base100</w:t>
            </w:r>
            <w:r>
              <w:rPr>
                <w:b/>
                <w:sz w:val="18"/>
              </w:rPr>
              <w:t xml:space="preserve">: </w:t>
            </w:r>
            <w:r>
              <w:rPr>
                <w:rFonts w:ascii="Consolas" w:hAnsi="Consolas"/>
                <w:b/>
                <w:sz w:val="18"/>
              </w:rPr>
              <w:t>prem_test</w:t>
            </w:r>
            <w:r>
              <w:rPr>
                <w:b/>
                <w:sz w:val="18"/>
              </w:rPr>
              <w:t xml:space="preserve"> / rate</w:t>
            </w:r>
          </w:p>
        </w:tc>
        <w:tc>
          <w:tcPr>
            <w:tcW w:type="dxa" w:w="2880"/>
          </w:tcPr>
          <w:p>
            <w:r>
              <w:rPr>
                <w:rFonts w:ascii="Consolas" w:hAnsi="Consolas"/>
                <w:b/>
                <w:sz w:val="18"/>
              </w:rPr>
              <w:t>lr005_100ep</w:t>
            </w:r>
            <w:r>
              <w:rPr>
                <w:b/>
                <w:sz w:val="18"/>
              </w:rPr>
              <w:t xml:space="preserve">: </w:t>
            </w:r>
            <w:r>
              <w:rPr>
                <w:rFonts w:ascii="Consolas" w:hAnsi="Consolas"/>
                <w:b/>
                <w:sz w:val="18"/>
              </w:rPr>
              <w:t>prem_test</w:t>
            </w:r>
            <w:r>
              <w:rPr>
                <w:b/>
                <w:sz w:val="18"/>
              </w:rPr>
              <w:t xml:space="preserve"> / rate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`best`</w:t>
            </w:r>
            <w:r>
              <w:rPr>
                <w:sz w:val="18"/>
              </w:rPr>
              <w:t xml:space="preserve"> (as printed, §8.9)</w:t>
            </w:r>
          </w:p>
        </w:tc>
        <w:tc>
          <w:tcPr>
            <w:tcW w:type="dxa" w:w="2880"/>
          </w:tcPr>
          <w:p>
            <w:r>
              <w:rPr>
                <w:sz w:val="18"/>
              </w:rPr>
              <w:t xml:space="preserve">+1.812 pp / </w:t>
            </w:r>
            <w:r>
              <w:rPr>
                <w:b/>
                <w:sz w:val="18"/>
              </w:rPr>
              <w:t>+6.9 percent</w:t>
            </w:r>
          </w:p>
        </w:tc>
        <w:tc>
          <w:tcPr>
            <w:tcW w:type="dxa" w:w="2880"/>
          </w:tcPr>
          <w:p>
            <w:r>
              <w:rPr>
                <w:sz w:val="18"/>
              </w:rPr>
              <w:t xml:space="preserve">−0.680 pp / </w:t>
            </w:r>
            <w:r>
              <w:rPr>
                <w:b/>
                <w:sz w:val="18"/>
              </w:rPr>
              <w:t>−4.6 percent</w:t>
            </w:r>
          </w:p>
        </w:tc>
      </w:tr>
      <w:tr>
        <w:tc>
          <w:tcPr>
            <w:tcW w:type="dxa" w:w="2880"/>
          </w:tcPr>
          <w:p>
            <w:r>
              <w:rPr>
                <w:b/>
                <w:sz w:val="18"/>
              </w:rPr>
              <w:t>top-5 plateau</w:t>
            </w:r>
            <w:r>
              <w:rPr>
                <w:sz w:val="18"/>
              </w:rPr>
              <w:t xml:space="preserve"> (§11(v))</w:t>
            </w:r>
          </w:p>
        </w:tc>
        <w:tc>
          <w:tcPr>
            <w:tcW w:type="dxa" w:w="2880"/>
          </w:tcPr>
          <w:p>
            <w:r>
              <w:rPr>
                <w:sz w:val="18"/>
              </w:rPr>
              <w:t xml:space="preserve">+1.304 pp / </w:t>
            </w:r>
            <w:r>
              <w:rPr>
                <w:b/>
                <w:sz w:val="18"/>
              </w:rPr>
              <w:t>+5.0 percent</w:t>
            </w:r>
          </w:p>
        </w:tc>
        <w:tc>
          <w:tcPr>
            <w:tcW w:type="dxa" w:w="2880"/>
          </w:tcPr>
          <w:p>
            <w:r>
              <w:rPr>
                <w:sz w:val="18"/>
              </w:rPr>
              <w:t xml:space="preserve">−0.211 pp / </w:t>
            </w:r>
            <w:r>
              <w:rPr>
                <w:b/>
                <w:sz w:val="18"/>
              </w:rPr>
              <w:t>−1.4 percent</w:t>
            </w:r>
          </w:p>
        </w:tc>
      </w:tr>
      <w:tr>
        <w:tc>
          <w:tcPr>
            <w:tcW w:type="dxa" w:w="2880"/>
          </w:tcPr>
          <w:p>
            <w:r>
              <w:rPr>
                <w:b/>
                <w:sz w:val="18"/>
              </w:rPr>
              <w:t>`final`-epoch</w:t>
            </w:r>
            <w:r>
              <w:rPr>
                <w:sz w:val="18"/>
              </w:rPr>
              <w:t xml:space="preserve"> (§11(ii))</w:t>
            </w:r>
          </w:p>
        </w:tc>
        <w:tc>
          <w:tcPr>
            <w:tcW w:type="dxa" w:w="2880"/>
          </w:tcPr>
          <w:p>
            <w:r>
              <w:rPr>
                <w:sz w:val="18"/>
              </w:rPr>
              <w:t xml:space="preserve">0 / </w:t>
            </w:r>
            <w:r>
              <w:rPr>
                <w:b/>
                <w:sz w:val="18"/>
              </w:rPr>
              <w:t>0 percent</w:t>
            </w:r>
          </w:p>
        </w:tc>
        <w:tc>
          <w:tcPr>
            <w:tcW w:type="dxa" w:w="2880"/>
          </w:tcPr>
          <w:p>
            <w:r>
              <w:rPr>
                <w:sz w:val="18"/>
              </w:rPr>
              <w:t xml:space="preserve">0 / </w:t>
            </w:r>
            <w:r>
              <w:rPr>
                <w:b/>
                <w:sz w:val="18"/>
              </w:rPr>
              <w:t>0 percent</w:t>
            </w:r>
          </w:p>
        </w:tc>
      </w:tr>
    </w:tbl>
    <w:p/>
    <w:p>
      <w:r>
        <w:rPr>
          <w:b/>
        </w:rPr>
        <w:t>Cross-check.</w:t>
      </w:r>
      <w:r>
        <w:t xml:space="preserve"> This recomputation returns </w:t>
      </w:r>
      <w:r>
        <w:rPr>
          <w:rFonts w:ascii="Consolas" w:hAnsi="Consolas"/>
          <w:sz w:val="19"/>
        </w:rPr>
        <w:t>prem_val</w:t>
      </w:r>
      <w:r>
        <w:t xml:space="preserve"> = </w:t>
      </w:r>
      <w:r>
        <w:rPr>
          <w:b/>
        </w:rPr>
        <w:t>+26.219 pp</w:t>
      </w:r>
      <w:r>
        <w:t xml:space="preserve"> and </w:t>
      </w:r>
      <w:r>
        <w:rPr>
          <w:b/>
        </w:rPr>
        <w:t>+14.883 pp</w:t>
      </w:r>
      <w:r>
        <w:t xml:space="preserve"> for the two arms — </w:t>
      </w:r>
      <w:r>
        <w:rPr>
          <w:b/>
        </w:rPr>
        <w:t>digit-for-digit the values printed in §8.9</w:t>
      </w:r>
      <w:r>
        <w:t xml:space="preserve"> — which is an independent confirmation that the released per-run data and the published table agree.</w:t>
      </w:r>
    </w:p>
    <w:p>
      <w:r>
        <w:rPr>
          <w:b/>
        </w:rPr>
        <w:t>Reading.</w:t>
      </w:r>
      <w:r>
        <w:t xml:space="preserve"> On this corpus the premium is large and the realization is small, and </w:t>
      </w:r>
      <w:r>
        <w:rPr>
          <w:b/>
        </w:rPr>
        <w:t>both mitigations shrink the measured realization further</w:t>
      </w:r>
      <w:r>
        <w:t xml:space="preserve"> (+6.9 → +5.0 → 0 percent): reporting a </w:t>
      </w:r>
      <w:r>
        <w:rPr>
          <w:b/>
        </w:rPr>
        <w:t>plateau</w:t>
      </w:r>
      <w:r>
        <w:t xml:space="preserve"> rather than a single selected checkpoint removes part of what survives, and reporting a </w:t>
      </w:r>
      <w:r>
        <w:rPr>
          <w:b/>
        </w:rPr>
        <w:t>selection-free</w:t>
      </w:r>
      <w:r>
        <w:t xml:space="preserve"> endpoint removes the numerator by construction. That is not an argument against the mitigations — they are proposals about </w:t>
      </w:r>
      <w:r>
        <w:rPr>
          <w:b/>
        </w:rPr>
        <w:t>reporting</w:t>
      </w:r>
      <w:r>
        <w:t>, and the point of §11 is that the reader should be able to see this — but it does show that on a corpus where the selection premium is mostly shape, the two interventions move the headline number by more than the premium itself.</w:t>
      </w:r>
    </w:p>
    <w:p/>
    <w:p>
      <w:pPr>
        <w:pStyle w:val="Heading1"/>
      </w:pPr>
      <w:r>
        <w:t>S39 · Why the fourth unit is renamed `documented / locally scorable`</w:t>
      </w:r>
    </w:p>
    <w:p>
      <w:r>
        <w:rPr>
          <w:b/>
        </w:rPr>
        <w:t>The objection.</w:t>
      </w:r>
      <w:r>
        <w:t xml:space="preserve"> §3 defines the fourth counting unit as the layer </w:t>
      </w:r>
      <w:r>
        <w:rPr>
          <w:b/>
        </w:rPr>
        <w:t>the literature reports</w:t>
      </w:r>
      <w:r>
        <w:t xml:space="preserve">, but its evidence was taken from the release documentation and each dataset’s own paper: </w:t>
      </w:r>
      <w:r>
        <w:rPr>
          <w:b/>
        </w:rPr>
        <w:t>no paper that uses these benchmarks was sampled</w:t>
      </w:r>
      <w:r>
        <w:t>, so the name promises a literature measurement the audit does not make (§3 already says so in passing).</w:t>
      </w:r>
    </w:p>
    <w:p>
      <w:r>
        <w:rPr>
          <w:b/>
        </w:rPr>
        <w:t>What we do about it.</w:t>
      </w:r>
      <w:r>
        <w:t xml:space="preserve"> Rather than let the name carry a claim the instrument does not support, the unit is renamed </w:t>
      </w:r>
      <w:r>
        <w:rPr>
          <w:b/>
        </w:rPr>
        <w:t>`documented / locally scorable`</w:t>
      </w:r>
      <w:r>
        <w:t xml:space="preserve"> everywhere it appears, and every sentence that leaned on it as a statement about the literature now says which document was read. The </w:t>
      </w:r>
      <w:r>
        <w:rPr>
          <w:b/>
        </w:rPr>
        <w:t>counts are unchanged</w:t>
      </w:r>
      <w:r>
        <w:t xml:space="preserve"> — this is a naming and interpretation fix, not a re-coding — and the distinction the paper actually needs (what a reader can verify from the artefacts versus what the reported layer forces them to accept) is preserved. A literature sample would upgrade the unit back to a measurement; it is not claimed here.</w:t>
      </w:r>
    </w:p>
    <w:p>
      <w:r>
        <w:rPr>
          <w:b/>
        </w:rPr>
        <w:t>Inputs:</w:t>
      </w:r>
      <w:r>
        <w:t xml:space="preserve"> the four-unit table and its per-cell sources,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