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 (§S12).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thirteen, and the floor is measured on one corpus pair — it is a reference point for that pair, not a universal threshold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r>
        <w:rPr>
          <w:b/>
        </w:rPr>
        <w:t>Naming note.</w:t>
      </w:r>
      <w:r>
        <w:t xml:space="preserve"> The fourth unit is named </w:t>
      </w:r>
      <w:r>
        <w:rPr>
          <w:b/>
        </w:rPr>
        <w:t>`documented / locally scorable`</w:t>
      </w:r>
      <w:r>
        <w:t xml:space="preserve">: it reads the </w:t>
      </w:r>
      <w:r>
        <w:rPr>
          <w:b/>
        </w:rPr>
        <w:t>release documentation and each dataset’s own paper</w:t>
      </w:r>
      <w:r>
        <w:t xml:space="preserve">, not a sample of papers that report on the benchmark. The rename, and the reason a literature measurement is not claimed, are in </w:t>
      </w:r>
      <w:r>
        <w:rPr>
          <w:b/>
        </w:rPr>
        <w:t>§S39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pPr>
        <w:ind w:left="432"/>
      </w:pPr>
      <w:r>
        <w:rPr>
          <w:b/>
          <w:color w:val="444444"/>
          <w:sz w:val="20"/>
        </w:rPr>
        <w:t>Which quantity these p-values belong to.</w:t>
      </w:r>
      <w:r>
        <w:rPr>
          <w:color w:val="444444"/>
          <w:sz w:val="20"/>
        </w:rPr>
        <w:t xml:space="preserve"> The p-values quoted here are for </w:t>
      </w:r>
      <w:r>
        <w:rPr>
          <w:b/>
          <w:color w:val="444444"/>
          <w:sz w:val="20"/>
        </w:rPr>
        <w:t>Table 2’s Δgap</w:t>
      </w:r>
      <w:r>
        <w:rPr>
          <w:color w:val="444444"/>
          <w:sz w:val="20"/>
        </w:rPr>
        <w:t xml:space="preserve"> (the arm difference of the val-vs-test gaps). </w:t>
      </w:r>
      <w:r>
        <w:rPr>
          <w:b/>
          <w:color w:val="444444"/>
          <w:sz w:val="20"/>
        </w:rPr>
        <w:t>Table S42’s column is a different estimand</w:t>
      </w:r>
      <w:r>
        <w:rPr>
          <w:color w:val="444444"/>
          <w:sz w:val="20"/>
        </w:rPr>
        <w:t xml:space="preserve"> — </w:t>
      </w:r>
      <w:r>
        <w:rPr>
          <w:rFonts w:ascii="Consolas" w:hAnsi="Consolas"/>
          <w:color w:val="444444"/>
          <w:sz w:val="20"/>
        </w:rPr>
        <w:t>Δprem(seed) = prem(strategy) − prem(baseline)</w:t>
      </w:r>
      <w:r>
        <w:rPr>
          <w:color w:val="444444"/>
          <w:sz w:val="20"/>
        </w:rPr>
        <w:t xml:space="preserve"> — so its p-values are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expected to match these, and the S42 note says so. Both are printed with their n so a reader can check either.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premium’s realization rate — **the claim-level interval includes zero**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— the practice is **most</w:t>
      </w:r>
    </w:p>
    <w:p>
      <w:r>
        <w:t>damaging exactly where data is scarcest</w:t>
      </w:r>
      <w:r>
        <w:rPr>
          <w:b/>
        </w:rPr>
        <w:t xml:space="preserve">. ③④ </w:t>
      </w:r>
      <w:r>
        <w:t>Test conventions and counting units</w:t>
      </w:r>
      <w:r>
        <w:rPr>
          <w:b/>
        </w:rPr>
        <w:t xml:space="preserve"> (the two concrete asks): stated in </w:t>
      </w:r>
      <w:r>
        <w:t>Supplementary S29**.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 on run-level variation alone; </w:t>
      </w:r>
      <w:r>
        <w:t>+31.6 % to +225.0 % once endpoint noise is propagated</w:t>
      </w:r>
      <w:r>
        <w:rPr>
          <w:b/>
        </w:rPr>
        <w:t xml:space="preserve">, so the out-of-band reading is </w:t>
      </w:r>
      <w:r>
        <w:t>not robust</w:t>
      </w:r>
      <w:r>
        <w:rPr>
          <w:b/>
        </w:rPr>
        <w:t>, §S30), and the run-only interval clears the band’s upper edge only by 2.9 pp.</w:t>
      </w:r>
      <w:r>
        <w:t xml:space="preserve">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