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>single citation convention is `reported = 10–11 of 19 ≈ 63–65 %` on the decidable rows, with the printed-layer numbers (12–14/19) and the upper bound (≤14/19) scoped to their own columns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</w:t>
      </w:r>
      <w:r>
        <w:rPr>
          <w:b/>
        </w:rPr>
        <w:t>an independent blind panel reproduces only 31.4 % of the printed marks (42.2 % on the finer scale), so a 19-row count of 10–11 carries a band of roughly ±3–4 cells</w:t>
      </w:r>
      <w:r>
        <w:t xml:space="preserve"> — the </w:t>
      </w:r>
      <w:r>
        <w:rPr>
          <w:i/>
        </w:rPr>
        <w:t>direction</w:t>
      </w:r>
      <w:r>
        <w:t xml:space="preserve"> of the majority survives on the decidable rows (10–11 of 16–17), </w:t>
      </w:r>
      <w:r>
        <w:rPr>
          <w:b/>
        </w:rPr>
        <w:t>its size does not</w:t>
      </w:r>
      <w:r>
        <w:t xml:space="preserve"> (</w:t>
      </w:r>
      <w:r>
        <w:rPr>
          <w:b/>
        </w:rPr>
        <w:t>Supplementary S27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