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pPr>
        <w:ind w:left="432"/>
      </w:pPr>
      <w:r>
        <w:rPr>
          <w:b/>
          <w:color w:val="444444"/>
          <w:sz w:val="20"/>
        </w:rPr>
        <w:t>Row 1 entry point.</w:t>
      </w:r>
      <w:r>
        <w:rPr>
          <w:color w:val="444444"/>
          <w:sz w:val="20"/>
        </w:rPr>
        <w:t xml:space="preserve"> Table 4's headline is reproduced from the released per-run files: </w:t>
      </w:r>
      <w:r>
        <w:rPr>
          <w:rFonts w:ascii="Consolas" w:hAnsi="Consolas"/>
          <w:color w:val="444444"/>
          <w:sz w:val="20"/>
        </w:rPr>
        <w:t>P2_e1full_per_run.csv</w:t>
      </w:r>
      <w:r>
        <w:rPr>
          <w:color w:val="444444"/>
          <w:sz w:val="20"/>
        </w:rPr>
        <w:t xml:space="preserve"> (the full-budget corridor) and </w:t>
      </w:r>
      <w:r>
        <w:rPr>
          <w:rFonts w:ascii="Consolas" w:hAnsi="Consolas"/>
          <w:color w:val="444444"/>
          <w:sz w:val="20"/>
        </w:rPr>
        <w:t>release_selection-transfer_perseed.csv</w:t>
      </w:r>
      <w:r>
        <w:rPr>
          <w:color w:val="444444"/>
          <w:sz w:val="20"/>
        </w:rPr>
        <w:t xml:space="preserve"> (the per-seed arm contrast), both in </w:t>
      </w:r>
      <w:r>
        <w:rPr>
          <w:rFonts w:ascii="Consolas" w:hAnsi="Consolas"/>
          <w:color w:val="444444"/>
          <w:sz w:val="20"/>
        </w:rPr>
        <w:t>02_release_data/</w:t>
      </w:r>
      <w:r>
        <w:rPr>
          <w:color w:val="444444"/>
          <w:sz w:val="20"/>
        </w:rPr>
        <w:t xml:space="preserve">, with </w:t>
      </w:r>
      <w:r>
        <w:rPr>
          <w:rFonts w:ascii="Consolas" w:hAnsi="Consolas"/>
          <w:color w:val="444444"/>
          <w:sz w:val="20"/>
        </w:rPr>
        <w:t>SHA256SUMS.txt</w:t>
      </w:r>
      <w:r>
        <w:rPr>
          <w:color w:val="444444"/>
          <w:sz w:val="20"/>
        </w:rPr>
        <w:t xml:space="preserve"> beside them.</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(requested in review)</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(requested in review)</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The pool restricted to E = 100, both weightings (requested in review)</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(requested in review)</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The six-cell co-primary pooling, both weightings (requested in review)</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