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 (§S12).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r>
        <w:rPr>
          <w:b/>
        </w:rPr>
        <w:t>Naming note.</w:t>
      </w:r>
      <w:r>
        <w:t xml:space="preserve"> The fourth unit is named </w:t>
      </w:r>
      <w:r>
        <w:rPr>
          <w:b/>
        </w:rPr>
        <w:t>`documented / locally scorable`</w:t>
      </w:r>
      <w:r>
        <w:t xml:space="preserve">: it reads the </w:t>
      </w:r>
      <w:r>
        <w:rPr>
          <w:b/>
        </w:rPr>
        <w:t>release documentation and each dataset’s own paper</w:t>
      </w:r>
      <w:r>
        <w:t xml:space="preserve">, not a sample of papers that report on the benchmark. The rename, and the reason a literature measurement is not claimed, are in </w:t>
      </w:r>
      <w:r>
        <w:rPr>
          <w:b/>
        </w:rPr>
        <w:t>§S39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The full round ships.</w:t>
      </w:r>
      <w:r>
        <w:rPr>
          <w:color w:val="444444"/>
          <w:sz w:val="20"/>
        </w:rPr>
        <w:t xml:space="preserve"> The eight-coder blind matrices, the agreement statistics and the intake ledger are released with this package (</w:t>
      </w:r>
      <w:r>
        <w:rPr>
          <w:rFonts w:ascii="Consolas" w:hAnsi="Consolas"/>
          <w:color w:val="444444"/>
          <w:sz w:val="20"/>
        </w:rPr>
        <w:t>P2_coding_blind_matrices.json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P2_coding_kappa.json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P2_coding_intake_ledger.json</w:t>
      </w:r>
      <w:r>
        <w:rPr>
          <w:color w:val="444444"/>
          <w:sz w:val="20"/>
        </w:rPr>
        <w:t>), so the panel reading above is re-derivable rather than asserted.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pPr>
        <w:ind w:left="432"/>
      </w:pPr>
      <w:r>
        <w:rPr>
          <w:b/>
          <w:color w:val="444444"/>
          <w:sz w:val="20"/>
        </w:rPr>
        <w:t>Which quantity these p-values belong to.</w:t>
      </w:r>
      <w:r>
        <w:rPr>
          <w:color w:val="444444"/>
          <w:sz w:val="20"/>
        </w:rPr>
        <w:t xml:space="preserve"> The p-values quoted here are for </w:t>
      </w:r>
      <w:r>
        <w:rPr>
          <w:b/>
          <w:color w:val="444444"/>
          <w:sz w:val="20"/>
        </w:rPr>
        <w:t>Table 2’s Δgap</w:t>
      </w:r>
      <w:r>
        <w:rPr>
          <w:color w:val="444444"/>
          <w:sz w:val="20"/>
        </w:rPr>
        <w:t xml:space="preserve"> (the arm difference of the val-vs-test gaps). </w:t>
      </w:r>
      <w:r>
        <w:rPr>
          <w:b/>
          <w:color w:val="444444"/>
          <w:sz w:val="20"/>
        </w:rPr>
        <w:t>Table S42’s column is a different estimand</w:t>
      </w:r>
      <w:r>
        <w:rPr>
          <w:color w:val="444444"/>
          <w:sz w:val="20"/>
        </w:rPr>
        <w:t xml:space="preserve"> — </w:t>
      </w:r>
      <w:r>
        <w:rPr>
          <w:rFonts w:ascii="Consolas" w:hAnsi="Consolas"/>
          <w:color w:val="444444"/>
          <w:sz w:val="20"/>
        </w:rPr>
        <w:t>Δprem(seed) = prem(strategy) − prem(baseline)</w:t>
      </w:r>
      <w:r>
        <w:rPr>
          <w:color w:val="444444"/>
          <w:sz w:val="20"/>
        </w:rPr>
        <w:t xml:space="preserve"> — so its p-values are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expected to match these, and the S42 note says so. Both are printed with their n so a reader can check either.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premium’s realization rate — **the claim-level interval includes zero**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 proportionally</w:t>
            </w:r>
            <w:r>
              <w:rPr>
                <w:sz w:val="18"/>
              </w:rPr>
              <w:t xml:space="preserve">: the switch is </w:t>
            </w:r>
            <w:r>
              <w:rPr>
                <w:b/>
                <w:sz w:val="18"/>
              </w:rPr>
              <w:t>rare and transient</w:t>
            </w:r>
            <w:r>
              <w:rPr>
                <w:sz w:val="18"/>
              </w:rPr>
              <w:t xml:space="preserve"> (92 log events, one cell), training </w:t>
            </w:r>
            <w:r>
              <w:rPr>
                <w:b/>
                <w:sz w:val="18"/>
              </w:rPr>
              <w:t>completes</w:t>
            </w:r>
            <w:r>
              <w:rPr>
                <w:sz w:val="18"/>
              </w:rPr>
              <w:t xml:space="preserve">, and the re-run under ample VRAM agrees to </w:t>
            </w:r>
            <w:r>
              <w:rPr>
                <w:b/>
                <w:sz w:val="18"/>
              </w:rPr>
              <w:t>≤ 0.05 pp</w:t>
            </w:r>
            <w:r>
              <w:rPr>
                <w:sz w:val="18"/>
              </w:rPr>
              <w:t xml:space="preserve">; the only larger difference (≈ 0.44 pp) is </w:t>
            </w:r>
            <w:r>
              <w:rPr>
                <w:b/>
                <w:sz w:val="18"/>
              </w:rPr>
              <w:t>below the paper’s own data-order spread of 0.515 pp</w:t>
            </w:r>
            <w:r>
              <w:rPr>
                <w:sz w:val="18"/>
              </w:rPr>
              <w:t xml:space="preserve"> (§8.4) — ordinary replication noise, not a memory-path effect. </w:t>
            </w:r>
            <w:r>
              <w:rPr>
                <w:b/>
                <w:sz w:val="18"/>
              </w:rPr>
              <w:t>No retraining is warranted.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 ③④ </w:t>
      </w:r>
      <w:r>
        <w:rPr>
          <w:b/>
        </w:rPr>
        <w:t>Test conventions and counting units</w:t>
      </w:r>
      <w:r>
        <w:t xml:space="preserve"> (the two concrete asks): stated in </w:t>
      </w:r>
      <w:r>
        <w:rPr>
          <w:b/>
        </w:rPr>
        <w:t>Supplementary S29</w:t>
      </w:r>
      <w:r>
        <w:t>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</w:t>
      </w:r>
      <w:r>
        <w:t>two run-level bootstraps of the same 20 runs differ, so both are printed with their seeds</w:t>
      </w:r>
      <w:r>
        <w:rPr>
          <w:b/>
        </w:rPr>
        <w:t xml:space="preserve">: </w:t>
      </w:r>
      <w:r>
        <w:t>seed 20261011</w:t>
      </w:r>
      <w:r>
        <w:rPr>
          <w:b/>
        </w:rPr>
        <w:t xml:space="preserve"> (§S13/Table S47) gives </w:t>
      </w:r>
      <w:r>
        <w:t>[+80.4 %, +122.0 %]</w:t>
      </w:r>
      <w:r>
        <w:rPr>
          <w:b/>
        </w:rPr>
        <w:t xml:space="preserve">; </w:t>
      </w:r>
      <w:r>
        <w:t>seed 20261013</w:t>
      </w:r>
      <w:r>
        <w:rPr>
          <w:b/>
        </w:rPr>
        <w:t xml:space="preserve"> (§S30) gives </w:t>
      </w:r>
      <w:r>
        <w:t>[+76.9 %, +135.5 %]</w:t>
      </w:r>
      <w:r>
        <w:rPr>
          <w:b/>
        </w:rPr>
        <w:t xml:space="preserve">. Propagating the endpoint noise (√2 × 0.18 pp) puts the lower bound </w:t>
      </w:r>
      <w:r>
        <w:t>inside</w:t>
      </w:r>
      <w:r>
        <w:rPr>
          <w:b/>
        </w:rPr>
        <w:t xml:space="preserve"> the band either way — the out-of-band reading is </w:t>
      </w:r>
      <w:r>
        <w:t>not robust</w:t>
      </w:r>
      <w:r>
        <w:rPr>
          <w:b/>
        </w:rPr>
        <w:t xml:space="preserve">. </w:t>
      </w:r>
      <w:r>
        <w:t>The “2.9 pp” margin is the 20261013 bootstrap’s</w:t>
      </w:r>
      <w:r>
        <w:rPr>
          <w:b/>
        </w:rPr>
        <w:t>; on 20261011 it is 6.4 pp.)</w:t>
      </w:r>
      <w:r>
        <w:t xml:space="preserve">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