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16"/>
        </w:rPr>
        <w:t>Fig. 1.</w:t>
      </w:r>
      <w:r>
        <w:rPr>
          <w:rFonts w:ascii="Times New Roman" w:hAnsi="Times New Roman"/>
          <w:b w:val="0"/>
          <w:i w:val="0"/>
          <w:sz w:val="16"/>
        </w:rPr>
        <w:t xml:space="preserve"> Tiling removes the ShanghaiTech-A abstention without harming direction.</w:t>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16"/>
        </w:rPr>
        <w:t>Fig. 2.</w:t>
      </w:r>
      <w:r>
        <w:rPr>
          <w:rFonts w:ascii="Times New Roman" w:hAnsi="Times New Roman"/>
          <w:b w:val="0"/>
          <w:i w:val="0"/>
          <w:sz w:val="16"/>
        </w:rPr>
        <w:t xml:space="preserve"> The prompt-strength dose–response: relaxation also drives abstention to zero, but flips ρ from −82% to +234%…+345%.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not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not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not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not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not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not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not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not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not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not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not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not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the arithmetic reason §3.6 reports the two lineages separately, not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licenses stratifying by legibility, not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not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w:t>
      </w:r>
      <w:r>
        <w:rPr>
          <w:rFonts w:ascii="Times New Roman" w:hAnsi="Times New Roman"/>
          <w:b/>
          <w:i w:val="0"/>
          <w:sz w:val="20"/>
        </w:rPr>
        <w:t>The threshold-cleaning curve of Fig. 3</w:t>
      </w:r>
      <w:r>
        <w:rPr>
          <w:rFonts w:ascii="Times New Roman" w:hAnsi="Times New Roman"/>
          <w:b w:val="0"/>
          <w:i w:val="0"/>
          <w:sz w:val="20"/>
        </w:rPr>
        <w:t xml:space="preserve"> separates reachable from unreachable levels;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i w:val="0"/>
          <w:sz w:val="16"/>
        </w:rPr>
        <w:t>Fig. 3.</w:t>
      </w:r>
      <w:r>
        <w:rPr>
          <w:rFonts w:ascii="Times New Roman" w:hAnsi="Times New Roman"/>
          <w:b w:val="0"/>
          <w:i w:val="0"/>
          <w:sz w:val="16"/>
        </w:rPr>
        <w:t xml:space="preserve"> The threshold-cleaning curve separating reachable from unreachable levels.</w:t>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 xml:space="preserve">A new synthetic-dot experiment holds rendering fixed: count predicts correctness, not abstention. β = −4.2059, CI [−4.6465, −3.7653], 49.9% → 2.1% → 0.5% (11,232 = main-batch primary; </w:t>
      </w:r>
      <w:r>
        <w:rPr>
          <w:rFonts w:ascii="Times New Roman" w:hAnsi="Times New Roman"/>
          <w:b/>
          <w:i w:val="0"/>
          <w:sz w:val="20"/>
        </w:rPr>
        <w:t>Appendix M.11.1</w:t>
      </w:r>
      <w:r>
        <w:rPr>
          <w:rFonts w:ascii="Times New Roman" w:hAnsi="Times New Roman"/>
          <w:b w:val="0"/>
          <w:i w:val="0"/>
          <w:sz w:val="20"/>
        </w:rPr>
        <w:t>).</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i w:val="0"/>
          <w:sz w:val="16"/>
        </w:rPr>
        <w:t>Fig. 4.</w:t>
      </w:r>
      <w:r>
        <w:rPr>
          <w:rFonts w:ascii="Times New Roman" w:hAnsi="Times New Roman"/>
          <w:b w:val="0"/>
          <w:i w:val="0"/>
          <w:sz w:val="16"/>
        </w:rPr>
        <w:t xml:space="preserve"> The four-panel separation of the two failure modes: abstention and under-count decouple.</w:t>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not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Read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read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not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not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not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not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not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not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so our VLM protocol fixes temperature at 0 (H.2); and the collapse of the VLM contract arm's output under overlap occurs for both 8B and 32B models at comparable overlap levels, making it a property of the task structure, not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not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not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 it must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not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not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not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so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not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not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