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Answered-zero outputs dominate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Symmetric magnitudes look alike: a count of 100 and one of 150.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a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base prompts</w:t>
      </w:r>
      <w:r>
        <w:rPr>
          <w:rFonts w:ascii="Times New Roman" w:hAnsi="Times New Roman"/>
          <w:b w:val="0"/>
          <w:i w:val="0"/>
          <w:sz w:val="20"/>
        </w:rPr>
        <w:t xml:space="preserve"> </w:t>
      </w:r>
      <w:r>
        <w:rPr>
          <w:rFonts w:ascii="Times New Roman" w:hAnsi="Times New Roman"/>
          <w:b/>
          <w:i w:val="0"/>
          <w:sz w:val="20"/>
        </w:rPr>
        <w:t>answered-zero outputs</w:t>
      </w:r>
      <w:r>
        <w:rPr>
          <w:rFonts w:ascii="Times New Roman" w:hAnsi="Times New Roman"/>
          <w:b w:val="0"/>
          <w:i w:val="0"/>
          <w:sz w:val="20"/>
        </w:rPr>
        <w:t xml:space="preserve"> account for </w:t>
      </w:r>
      <w:r>
        <w:rPr>
          <w:rFonts w:ascii="Times New Roman" w:hAnsi="Times New Roman"/>
          <w:b/>
          <w:i w:val="0"/>
          <w:sz w:val="20"/>
        </w:rPr>
        <w:t>82–94%</w:t>
      </w:r>
      <w:r>
        <w:rPr>
          <w:rFonts w:ascii="Times New Roman" w:hAnsi="Times New Roman"/>
          <w:b w:val="0"/>
          <w:i w:val="0"/>
          <w:sz w:val="20"/>
        </w:rPr>
        <w:t xml:space="preserve"> of the net under-count under ground-truth-weighted share (</w:t>
      </w:r>
      <w:r>
        <w:rPr>
          <w:rFonts w:ascii="Times New Roman" w:hAnsi="Times New Roman"/>
          <w:b/>
          <w:i w:val="0"/>
          <w:sz w:val="20"/>
        </w:rPr>
        <w:t>base arm</w:t>
      </w:r>
      <w:r>
        <w:rPr>
          <w:rFonts w:ascii="Times New Roman" w:hAnsi="Times New Roman"/>
          <w:b w:val="0"/>
          <w:i w:val="0"/>
          <w:sz w:val="20"/>
        </w:rPr>
        <w:t xml:space="preserve">); contract interventions change </w:t>
      </w:r>
      <w:r>
        <w:rPr>
          <w:rFonts w:ascii="Times New Roman" w:hAnsi="Times New Roman"/>
          <w:b/>
          <w:i w:val="0"/>
          <w:sz w:val="20"/>
        </w:rPr>
        <w:t>observable response channels</w:t>
      </w:r>
      <w:r>
        <w:rPr>
          <w:rFonts w:ascii="Times New Roman" w:hAnsi="Times New Roman"/>
          <w:b w:val="0"/>
          <w:i w:val="0"/>
          <w:sz w:val="20"/>
        </w:rPr>
        <w:t xml:space="preserve">, not each base response's </w:t>
      </w:r>
      <w:r>
        <w:rPr>
          <w:rFonts w:ascii="Times New Roman" w:hAnsi="Times New Roman"/>
          <w:b/>
          <w:i w:val="0"/>
          <w:sz w:val="20"/>
        </w:rPr>
        <w:t>latent state</w:t>
      </w:r>
      <w:r>
        <w:rPr>
          <w:rFonts w:ascii="Times New Roman" w:hAnsi="Times New Roman"/>
          <w:b w:val="0"/>
          <w:i w:val="0"/>
          <w:sz w:val="20"/>
        </w:rPr>
        <w:t xml:space="preserve">; reading the zero contribution as abstention </w:t>
      </w:r>
      <w:r>
        <w:rPr>
          <w:rFonts w:ascii="Times New Roman" w:hAnsi="Times New Roman"/>
          <w:b/>
          <w:i w:val="0"/>
          <w:sz w:val="20"/>
        </w:rPr>
        <w:t>requires channel purity and exhaustiveness</w:t>
      </w:r>
      <w:r>
        <w:rPr>
          <w:rFonts w:ascii="Times New Roman" w:hAnsi="Times New Roman"/>
          <w:b w:val="0"/>
          <w:i w:val="0"/>
          <w:sz w:val="20"/>
        </w:rPr>
        <w:t xml:space="preserve">, and the </w:t>
      </w:r>
      <w:r>
        <w:rPr>
          <w:rFonts w:ascii="Times New Roman" w:hAnsi="Times New Roman"/>
          <w:b/>
          <w:i w:val="0"/>
          <w:sz w:val="20"/>
        </w:rPr>
        <w:t>item-count</w:t>
      </w:r>
      <w:r>
        <w:rPr>
          <w:rFonts w:ascii="Times New Roman" w:hAnsi="Times New Roman"/>
          <w:b w:val="0"/>
          <w:i w:val="0"/>
          <w:sz w:val="20"/>
        </w:rPr>
        <w:t xml:space="preserve"> abstention rate is </w:t>
      </w:r>
      <w:r>
        <w:rPr>
          <w:rFonts w:ascii="Times New Roman" w:hAnsi="Times New Roman"/>
          <w:b/>
          <w:i w:val="0"/>
          <w:sz w:val="20"/>
        </w:rPr>
        <w:t>53.9–68.2%</w:t>
      </w:r>
      <w:r>
        <w:rPr>
          <w:rFonts w:ascii="Times New Roman" w:hAnsi="Times New Roman"/>
          <w:b w:val="0"/>
          <w:i w:val="0"/>
          <w:sz w:val="20"/>
        </w:rPr>
        <w:t xml:space="preserve">.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w:t>
      </w:r>
      <w:r>
        <w:rPr>
          <w:rFonts w:ascii="Times New Roman" w:hAnsi="Times New Roman"/>
          <w:b/>
          <w:i w:val="0"/>
          <w:sz w:val="20"/>
        </w:rPr>
        <w:t>availability of an abstention token</w:t>
      </w:r>
      <w:r>
        <w:rPr>
          <w:rFonts w:ascii="Times New Roman" w:hAnsi="Times New Roman"/>
          <w:b w:val="0"/>
          <w:i w:val="0"/>
          <w:sz w:val="20"/>
        </w:rPr>
        <w:t>, not demand. Abstention is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w:t>
      </w:r>
      <w:r>
        <w:rPr>
          <w:rFonts w:ascii="Times New Roman" w:hAnsi="Times New Roman"/>
          <w:b/>
          <w:i w:val="0"/>
          <w:sz w:val="20"/>
        </w:rPr>
        <w:t>−82% → +234%</w:t>
      </w:r>
      <w:r>
        <w:rPr>
          <w:rFonts w:ascii="Times New Roman" w:hAnsi="Times New Roman"/>
          <w:b w:val="0"/>
          <w:i w:val="0"/>
          <w:sz w:val="20"/>
        </w:rPr>
        <w:t xml:space="preserve">). Direction span is a property of implementation × training domain × data domain × protocol, not a paradigm — </w:t>
      </w:r>
      <w:r>
        <w:rPr>
          <w:rFonts w:ascii="Times New Roman" w:hAnsi="Times New Roman"/>
          <w:b/>
          <w:i w:val="0"/>
          <w:sz w:val="20"/>
        </w:rPr>
        <w:t>2–3.4×</w:t>
      </w:r>
      <w:r>
        <w:rPr>
          <w:rFonts w:ascii="Times New Roman" w:hAnsi="Times New Roman"/>
          <w:b w:val="0"/>
          <w:i w:val="0"/>
          <w:sz w:val="20"/>
        </w:rPr>
        <w:t xml:space="preserve"> across implementations under a </w:t>
      </w:r>
      <w:r>
        <w:rPr>
          <w:rFonts w:ascii="Times New Roman" w:hAnsi="Times New Roman"/>
          <w:b/>
          <w:i w:val="0"/>
          <w:sz w:val="20"/>
        </w:rPr>
        <w:t>shared</w:t>
      </w:r>
      <w:r>
        <w:rPr>
          <w:rFonts w:ascii="Times New Roman" w:hAnsi="Times New Roman"/>
          <w:b w:val="0"/>
          <w:i w:val="0"/>
          <w:sz w:val="20"/>
        </w:rPr>
        <w:t xml:space="preserve"> protocol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answered-zero outputs, not underestimation, carry the bulk of these "underestimates"</w:t>
      </w:r>
      <w:r>
        <w:rPr>
          <w:rFonts w:ascii="Times New Roman" w:hAnsi="Times New Roman"/>
          <w:b w:val="0"/>
          <w:i w:val="0"/>
          <w:sz w:val="20"/>
        </w:rPr>
        <w:t xml:space="preserve">: a literal </w:t>
      </w:r>
      <w:r>
        <w:rPr>
          <w:rFonts w:ascii="Times New Roman" w:hAnsi="Times New Roman"/>
          <w:b/>
          <w:i w:val="0"/>
          <w:sz w:val="20"/>
        </w:rPr>
        <w:t>"0"</w:t>
      </w:r>
      <w:r>
        <w:rPr>
          <w:rFonts w:ascii="Times New Roman" w:hAnsi="Times New Roman"/>
          <w:b w:val="0"/>
          <w:i w:val="0"/>
          <w:sz w:val="20"/>
        </w:rPr>
        <w:t xml:space="preserve"> is emitted on instances it does not resolve, and the latent state behind it is </w:t>
      </w:r>
      <w:r>
        <w:rPr>
          <w:rFonts w:ascii="Times New Roman" w:hAnsi="Times New Roman"/>
          <w:b/>
          <w:i w:val="0"/>
          <w:sz w:val="20"/>
        </w:rPr>
        <w:t>not identified</w:t>
      </w:r>
      <w:r>
        <w:rPr>
          <w:rFonts w:ascii="Times New Roman" w:hAnsi="Times New Roman"/>
          <w:b w:val="0"/>
          <w:i w:val="0"/>
          <w:sz w:val="20"/>
        </w:rPr>
        <w:t xml:space="preserve">. Under a ground-truth-weighted convention on one anchor build, answered-zero outputs account for </w:t>
      </w:r>
      <w:r>
        <w:rPr>
          <w:rFonts w:ascii="Times New Roman" w:hAnsi="Times New Roman"/>
          <w:b/>
          <w:i w:val="0"/>
          <w:sz w:val="20"/>
        </w:rPr>
        <w:t>82–94%</w:t>
      </w:r>
      <w:r>
        <w:rPr>
          <w:rFonts w:ascii="Times New Roman" w:hAnsi="Times New Roman"/>
          <w:b w:val="0"/>
          <w:i w:val="0"/>
          <w:sz w:val="20"/>
        </w:rPr>
        <w:t xml:space="preserve"> of the net under-count (</w:t>
      </w:r>
      <w:r>
        <w:rPr>
          <w:rFonts w:ascii="Times New Roman" w:hAnsi="Times New Roman"/>
          <w:b/>
          <w:i w:val="0"/>
          <w:sz w:val="20"/>
        </w:rPr>
        <w:t>base contract arm, Chinese prompts</w:t>
      </w:r>
      <w:r>
        <w:rPr>
          <w:rFonts w:ascii="Times New Roman" w:hAnsi="Times New Roman"/>
          <w:b w:val="0"/>
          <w:i w:val="0"/>
          <w:sz w:val="20"/>
        </w:rPr>
        <w:t xml:space="preserve">; the full range over arms and domains is in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on count-controlled grids arrangement and blur alone drive abstention to 90%, while on clean synthetic dots the same base arm neither abstains nor becomes directionally accurate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16"/>
        </w:rPr>
        <w:t>Fig. 1.</w:t>
      </w:r>
      <w:r>
        <w:rPr>
          <w:rFonts w:ascii="Times New Roman" w:hAnsi="Times New Roman"/>
          <w:b w:val="0"/>
          <w:i w:val="0"/>
          <w:sz w:val="16"/>
        </w:rPr>
        <w:t xml:space="preserve"> Tiling removes the ShanghaiTech-A abstention without harming direction.</w:t>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16"/>
        </w:rPr>
        <w:t>Fig. 2.</w:t>
      </w:r>
      <w:r>
        <w:rPr>
          <w:rFonts w:ascii="Times New Roman" w:hAnsi="Times New Roman"/>
          <w:b w:val="0"/>
          <w:i w:val="0"/>
          <w:sz w:val="16"/>
        </w:rPr>
        <w:t xml:space="preserve"> The prompt-strength dose–response: relaxation also drives abstention to zero, but flips ρ from −82% to +234%…+345%.</w:t>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not findings, and whose role is that every headline number is recomputed from the released records or labelled a transcription or author-side computation (Appendix F.9). 1. </w:t>
      </w:r>
      <w:r>
        <w:rPr>
          <w:rFonts w:ascii="Times New Roman" w:hAnsi="Times New Roman"/>
          <w:b/>
          <w:i w:val="0"/>
          <w:sz w:val="20"/>
        </w:rPr>
        <w:t>Finding 1 — on dense scenes answered-zero outputs carry most of the aggregate under-count, and contract and outlet availability are leading; naming the zero is an independent factor.</w:t>
      </w:r>
      <w:r>
        <w:rPr>
          <w:rFonts w:ascii="Times New Roman" w:hAnsi="Times New Roman"/>
          <w:b w:val="0"/>
          <w:i w:val="0"/>
          <w:sz w:val="20"/>
        </w:rPr>
        <w:t xml:space="preserve"> Within the cells studied, literal-zero outputs dominate the pooled under-count (§5.5); for InternVL2.5-8B [6] the answered-zero channel covers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not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beyond the corpus, all unquantised — removes it in five of seven</w:t>
      </w:r>
      <w:r>
        <w:rPr>
          <w:rFonts w:ascii="Times New Roman" w:hAnsi="Times New Roman"/>
          <w:b w:val="0"/>
          <w:i w:val="0"/>
          <w:sz w:val="20"/>
        </w:rPr>
        <w:t xml:space="preserve">, the other two retaining </w:t>
      </w:r>
      <w:r>
        <w:rPr>
          <w:rFonts w:ascii="Times New Roman" w:hAnsi="Times New Roman"/>
          <w:b/>
          <w:i w:val="0"/>
          <w:sz w:val="20"/>
        </w:rPr>
        <w:t>0.1–2.1%</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by lineage, build and domain (§8.2, Appendices M.18–M.19).</w:t>
      </w:r>
    </w:p>
    <w:p>
      <w:r>
        <w:rPr>
          <w:rFonts w:ascii="Times New Roman" w:hAnsi="Times New Roman"/>
          <w:b w:val="0"/>
          <w:i w:val="0"/>
          <w:sz w:val="20"/>
        </w:rPr>
        <w:t>2. **Finding 2 — per-instance legibility gates whether a model answers, and it is a diagnostic, not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not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implementation families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whose trade-offs are read on magnitude error.</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NMS IoU being a second such knob, and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are rarely measured on counting tasks</w:t>
      </w:r>
      <w:r>
        <w:rPr>
          <w:rFonts w:ascii="Times New Roman" w:hAnsi="Times New Roman"/>
          <w:b w:val="0"/>
          <w:i w:val="0"/>
          <w:sz w:val="20"/>
        </w:rPr>
        <w:t xml:space="preserve">, and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not claim</w:t>
      </w:r>
      <w:r>
        <w:rPr>
          <w:rFonts w:ascii="Times New Roman" w:hAnsi="Times New Roman"/>
          <w:b w:val="0"/>
          <w:i w:val="0"/>
          <w:sz w:val="20"/>
        </w:rPr>
        <w:t xml:space="preserve"> the legibility gating — gated by per-instance legibility and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makes it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not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separated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about </w:t>
      </w:r>
      <w:r>
        <w:rPr>
          <w:rFonts w:ascii="Times New Roman" w:hAnsi="Times New Roman"/>
          <w:b/>
          <w:i w:val="0"/>
          <w:sz w:val="20"/>
        </w:rPr>
        <w:t>15%</w:t>
      </w:r>
      <w:r>
        <w:rPr>
          <w:rFonts w:ascii="Times New Roman" w:hAnsi="Times New Roman"/>
          <w:b w:val="0"/>
          <w:i w:val="0"/>
          <w:sz w:val="20"/>
        </w:rPr>
        <w:t>, while a locally controlled stack agrees at essentially 100% (batch ≤ 2);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 stated for classification, it is a naming convention for the counting map, not a validated calibration result.</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ground-truth-weighted under-count share S (Proposition 4), whose conditioning event and denominator are not those of the Proposition 7 channel coverage.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Part of the spread across published counting numbers is a granularity artefact, not a modelling difference, so </w:t>
      </w:r>
      <w:r>
        <w:rPr>
          <w:rFonts w:ascii="Times New Roman" w:hAnsi="Times New Roman"/>
          <w:b/>
          <w:i w:val="0"/>
          <w:sz w:val="20"/>
        </w:rPr>
        <w:t>any counting evaluation must declare its target granularity explicitly</w:t>
      </w:r>
      <w:r>
        <w:rPr>
          <w:rFonts w:ascii="Times New Roman" w:hAnsi="Times New Roman"/>
          <w:b w:val="0"/>
          <w:i w:val="0"/>
          <w:sz w:val="20"/>
        </w:rPr>
        <w:t>.</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not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here,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M.20).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D.2;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 with a compact table of what each observable licenses.</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The criterion is empirical: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must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write f=R/A and R/N for relative missed detection and absolute omission; a lineage with ratio κ identifies its </w:t>
      </w:r>
      <w:r>
        <w:rPr>
          <w:rFonts w:ascii="Times New Roman" w:hAnsi="Times New Roman"/>
          <w:b/>
          <w:i w:val="0"/>
          <w:sz w:val="20"/>
        </w:rPr>
        <w:t>answered-zero rate</w:t>
      </w:r>
      <w:r>
        <w:rPr>
          <w:rFonts w:ascii="Times New Roman" w:hAnsi="Times New Roman"/>
          <w:b w:val="0"/>
          <w:i w:val="0"/>
          <w:sz w:val="20"/>
        </w:rPr>
        <w:t xml:space="preserve"> only conditionally, the equality failing under an unverbalised true zero,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 and the outlet it offers</w:t>
      </w:r>
      <w:r>
        <w:rPr>
          <w:rFonts w:ascii="Times New Roman" w:hAnsi="Times New Roman"/>
          <w:b w:val="0"/>
          <w:i w:val="0"/>
          <w:sz w:val="20"/>
        </w:rPr>
        <w:t xml:space="preserve"> — not how much per-instance work the prompt demands; naming zero is an independent factor. The contract answer leaves this open. Prompts that </w:t>
      </w:r>
      <w:r>
        <w:rPr>
          <w:rFonts w:ascii="Times New Roman" w:hAnsi="Times New Roman"/>
          <w:b w:val="0"/>
          <w:i/>
          <w:sz w:val="20"/>
        </w:rPr>
        <w:t>require</w:t>
      </w:r>
      <w:r>
        <w:rPr>
          <w:rFonts w:ascii="Times New Roman" w:hAnsi="Times New Roman"/>
          <w:b w:val="0"/>
          <w:i w:val="0"/>
          <w:sz w:val="20"/>
        </w:rPr>
        <w:t xml:space="preserve"> per-instance enumeration or localisation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answered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The legibility attribution rests on §5.6–5.7, with one boundary the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not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the arithmetic reason §3.6 reports the two lineages separately.</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fixes neither its sign nor its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 reported side by side.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We therefore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constructible here.</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the ground-truth-weighted answered share (distinct from the item answered-zero rate q_C and the abstention-channel coverage 1-f; Appendix M.21.1), and the abstention share of the under-count has the closed form S=(1-w)/[1-w(1+ρ_answered)], a share inside [0,1] only if the net deviation is an under-count and the answering term does not offset the abstention term (ρ_answered≤0); it is undefined at zero net error; otherwise Table 3's two pp terms are reported (§8.2). This is a reporting identity of the same form as the answer-propensity / conditional-composition decomposition we use elsewhere [46]. Conditioning precision on prevalence is not a new identification result: it is the partial-identification problem of Manski [56] and the quantification literature's unidentified-prevalence target (Gonzalez et al. [57]), both cited in full in </w:t>
      </w:r>
      <w:r>
        <w:rPr>
          <w:rFonts w:ascii="Times New Roman" w:hAnsi="Times New Roman"/>
          <w:b/>
          <w:i w:val="0"/>
          <w:sz w:val="20"/>
        </w:rPr>
        <w:t>Appendix M.21</w:t>
      </w:r>
      <w:r>
        <w:rPr>
          <w:rFonts w:ascii="Times New Roman" w:hAnsi="Times New Roman"/>
          <w:b w:val="0"/>
          <w:i w:val="0"/>
          <w:sz w:val="20"/>
        </w:rPr>
        <w:t>, so what is added here is the application to counted outputs;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licensing stratification by legibility, not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 not a precision</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so a single-convention report is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Two calibers are reported side by side. Under </w:t>
      </w:r>
      <w:r>
        <w:rPr>
          <w:rFonts w:ascii="Times New Roman" w:hAnsi="Times New Roman"/>
          <w:b/>
          <w:i w:val="0"/>
          <w:sz w:val="20"/>
        </w:rPr>
        <w:t>person-matched</w:t>
      </w:r>
      <w:r>
        <w:rPr>
          <w:rFonts w:ascii="Times New Roman" w:hAnsi="Times New Roman"/>
          <w:b w:val="0"/>
          <w:i w:val="0"/>
          <w:sz w:val="20"/>
        </w:rPr>
        <w:t xml:space="preserve">, used throughout this section, the in-domain detector's pooled ρ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on a three-level grid (640 / 1024 / 1536 px) against </w:t>
      </w:r>
      <w:r>
        <w:rPr>
          <w:rFonts w:ascii="Times New Roman" w:hAnsi="Times New Roman"/>
          <w:b/>
          <w:i w:val="0"/>
          <w:sz w:val="20"/>
        </w:rPr>
        <w:t>95.9 / 159.3 / 195.7 pp</w:t>
      </w:r>
      <w:r>
        <w:rPr>
          <w:rFonts w:ascii="Times New Roman" w:hAnsi="Times New Roman"/>
          <w:b w:val="0"/>
          <w:i w:val="0"/>
          <w:sz w:val="20"/>
        </w:rPr>
        <w:t xml:space="preserve"> and never crosses. Under </w:t>
      </w:r>
      <w:r>
        <w:rPr>
          <w:rFonts w:ascii="Times New Roman" w:hAnsi="Times New Roman"/>
          <w:b/>
          <w:i w:val="0"/>
          <w:sz w:val="20"/>
        </w:rPr>
        <w:t>all-detections</w:t>
      </w:r>
      <w:r>
        <w:rPr>
          <w:rFonts w:ascii="Times New Roman" w:hAnsi="Times New Roman"/>
          <w:b w:val="0"/>
          <w:i w:val="0"/>
          <w:sz w:val="20"/>
        </w:rPr>
        <w:t xml:space="preserve"> on the same eight-level grid, the zero-shot ladder covers </w:t>
      </w:r>
      <w:r>
        <w:rPr>
          <w:rFonts w:ascii="Times New Roman" w:hAnsi="Times New Roman"/>
          <w:b/>
          <w:i w:val="0"/>
          <w:sz w:val="20"/>
        </w:rPr>
        <w:t>63.1–156.0 pp</w:t>
      </w:r>
      <w:r>
        <w:rPr>
          <w:rFonts w:ascii="Times New Roman" w:hAnsi="Times New Roman"/>
          <w:b w:val="0"/>
          <w:i w:val="0"/>
          <w:sz w:val="20"/>
        </w:rPr>
        <w:t xml:space="preserve"> while the in-domain one covers </w:t>
      </w:r>
      <w:r>
        <w:rPr>
          <w:rFonts w:ascii="Times New Roman" w:hAnsi="Times New Roman"/>
          <w:b/>
          <w:i w:val="0"/>
          <w:sz w:val="20"/>
        </w:rPr>
        <w:t>352.8–508.3 pp</w:t>
      </w:r>
      <w:r>
        <w:rPr>
          <w:rFonts w:ascii="Times New Roman" w:hAnsi="Times New Roman"/>
          <w:b w:val="0"/>
          <w:i w:val="0"/>
          <w:sz w:val="20"/>
        </w:rPr>
        <w:t xml:space="preserve"> (Appendix F.10,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not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w:t>
      </w:r>
      <w:r>
        <w:rPr>
          <w:rFonts w:ascii="Times New Roman" w:hAnsi="Times New Roman"/>
          <w:b/>
          <w:i w:val="0"/>
          <w:sz w:val="20"/>
        </w:rPr>
        <w:t>The threshold-cleaning curve of Fig. 3</w:t>
      </w:r>
      <w:r>
        <w:rPr>
          <w:rFonts w:ascii="Times New Roman" w:hAnsi="Times New Roman"/>
          <w:b w:val="0"/>
          <w:i w:val="0"/>
          <w:sz w:val="20"/>
        </w:rPr>
        <w:t xml:space="preserve"> separates reachable from unreachable levels;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i w:val="0"/>
          <w:sz w:val="16"/>
        </w:rPr>
        <w:t>Fig. 3.</w:t>
      </w:r>
      <w:r>
        <w:rPr>
          <w:rFonts w:ascii="Times New Roman" w:hAnsi="Times New Roman"/>
          <w:b w:val="0"/>
          <w:i w:val="0"/>
          <w:sz w:val="16"/>
        </w:rPr>
        <w:t xml:space="preserve"> The threshold-cleaning curve separating reachable from unreachable levels.</w:t>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Tiling moves UCF from unreachable to reachable (τ^\</w:t>
      </w:r>
      <w:r>
        <w:rPr>
          <w:rFonts w:ascii="Times New Roman" w:hAnsi="Times New Roman"/>
          <w:b w:val="0"/>
          <w:i w:val="0"/>
          <w:sz w:val="20"/>
        </w:rPr>
        <w:t xml:space="preserve"> 0.121–0.152): protocol and threshold jointly determine reachability.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and the pre-FPN architecture needs finer tiling to unseal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w:t>
      </w:r>
      <w:r>
        <w:rPr>
          <w:rFonts w:ascii="Times New Roman" w:hAnsi="Times New Roman"/>
          <w:b/>
          <w:i w:val="0"/>
          <w:sz w:val="20"/>
        </w:rPr>
        <w:t>GT-weighted under-count share</w:t>
      </w:r>
      <w:r>
        <w:rPr>
          <w:rFonts w:ascii="Times New Roman" w:hAnsi="Times New Roman"/>
          <w:b w:val="0"/>
          <w:i w:val="0"/>
          <w:sz w:val="20"/>
        </w:rPr>
        <w:t xml:space="preserve"> of zero-output items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(M.19.15: only the defining checkpoint's two precisions clear 50%) (three of twenty (language × build) cells leave the unit interval; M.18.9, M.19.16(ii), M.39, M.46(c)). </w:t>
      </w:r>
      <w:r>
        <w:rPr>
          <w:rFonts w:ascii="Times New Roman" w:hAnsi="Times New Roman"/>
          <w:b/>
          <w:i w:val="0"/>
          <w:sz w:val="20"/>
        </w:rPr>
        <w:t>The measured 82–94% is the GT-weighted contribution of answered-zero items for the specified build, language and base contract; interpreting individual zeros as abstentions remains conditional on channel purity and exhaustiveness.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 xml:space="preserve">A new synthetic-dot experiment holds rendering fixed: count predicts correctness, not abstention. β = −4.2059, CI [−4.6465, −3.7653], 49.9% → 2.1% → 0.5% (11,232 = main-batch primary; </w:t>
      </w:r>
      <w:r>
        <w:rPr>
          <w:rFonts w:ascii="Times New Roman" w:hAnsi="Times New Roman"/>
          <w:b/>
          <w:i w:val="0"/>
          <w:sz w:val="20"/>
        </w:rPr>
        <w:t>M.11.1</w:t>
      </w:r>
      <w:r>
        <w:rPr>
          <w:rFonts w:ascii="Times New Roman" w:hAnsi="Times New Roman"/>
          <w:b w:val="0"/>
          <w:i w:val="0"/>
          <w:sz w:val="20"/>
        </w:rPr>
        <w:t>).</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gave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five of seven</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i w:val="0"/>
          <w:sz w:val="16"/>
        </w:rPr>
        <w:t>Fig. 4.</w:t>
      </w:r>
      <w:r>
        <w:rPr>
          <w:rFonts w:ascii="Times New Roman" w:hAnsi="Times New Roman"/>
          <w:b w:val="0"/>
          <w:i w:val="0"/>
          <w:sz w:val="16"/>
        </w:rPr>
        <w:t xml:space="preserve"> The four-panel separation of the two failure modes: abstention and under-count decouple.</w:t>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paired, n = 900); the gate reproduces in three further lineages on a controlled disc grid, where the permitted contract leaves no zeros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w:t>
      </w:r>
      <w:r>
        <w:rPr>
          <w:rFonts w:ascii="Times New Roman" w:hAnsi="Times New Roman"/>
          <w:b w:val="0"/>
          <w:i w:val="0"/>
          <w:sz w:val="20"/>
        </w:rPr>
        <w:t xml:space="preserve"> cannot obtain both.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the 8B model's answered-only deviation is </w:t>
      </w:r>
      <w:r>
        <w:rPr>
          <w:rFonts w:ascii="Times New Roman" w:hAnsi="Times New Roman"/>
          <w:b/>
          <w:i w:val="0"/>
          <w:sz w:val="20"/>
        </w:rPr>
        <w:t>more negative</w:t>
      </w:r>
      <w:r>
        <w:rPr>
          <w:rFonts w:ascii="Times New Roman" w:hAnsi="Times New Roman"/>
          <w:b w:val="0"/>
          <w:i w:val="0"/>
          <w:sz w:val="20"/>
        </w:rPr>
        <w:t xml:space="preserve"> on that metric — a directional reading, not an accuracy claim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(M.8). Proposition 4 expresses this gap as -(1-w)(1+ρ_answered), so these four values are a </w:t>
      </w:r>
      <w:r>
        <w:rPr>
          <w:rFonts w:ascii="Times New Roman" w:hAnsi="Times New Roman"/>
          <w:b/>
          <w:i w:val="0"/>
          <w:sz w:val="20"/>
        </w:rPr>
        <w:t>consistency check on the numbers printed in this paper</w:t>
      </w:r>
      <w:r>
        <w:rPr>
          <w:rFonts w:ascii="Times New Roman" w:hAnsi="Times New Roman"/>
          <w:b w:val="0"/>
          <w:i w:val="0"/>
          <w:sz w:val="20"/>
        </w:rPr>
        <w:t>, not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denominators are defined in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one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 xml:space="preserve">. This </w:t>
      </w:r>
      <w:r>
        <w:rPr>
          <w:rFonts w:ascii="Times New Roman" w:hAnsi="Times New Roman"/>
          <w:b w:val="0"/>
          <w:i/>
          <w:sz w:val="20"/>
        </w:rPr>
        <w:t>instrument-as-is</w:t>
      </w:r>
      <w:r>
        <w:rPr>
          <w:rFonts w:ascii="Times New Roman" w:hAnsi="Times New Roman"/>
          <w:b w:val="0"/>
          <w:i w:val="0"/>
          <w:sz w:val="20"/>
        </w:rPr>
        <w:t xml:space="preserve"> panel measures responses to a fixed people-counting prompt on FSC-147 images; since that target need not match the annotated category, these results give no FSC-147 counting accuracy and no implicit abstention, so the readings bound the contract effect and do not estimate it, and target-matched results need separate evaluation on those images. Appendices M.24.5-M.24.8 supply that same evaluation there in full.</w:t>
      </w:r>
    </w:p>
    <w:p>
      <w:r>
        <w:rPr>
          <w:rFonts w:ascii="Times New Roman" w:hAnsi="Times New Roman"/>
          <w:b/>
          <w:i w:val="0"/>
          <w:sz w:val="20"/>
        </w:rPr>
        <w:t>Table 6.</w:t>
      </w:r>
      <w:r>
        <w:rPr>
          <w:rFonts w:ascii="Times New Roman" w:hAnsi="Times New Roman"/>
          <w:b w:val="0"/>
          <w:i w:val="0"/>
          <w:sz w:val="20"/>
        </w:rPr>
        <w:t xml:space="preserve"> The contract gate on FSC-147 (</w:t>
      </w:r>
      <w:r>
        <w:rPr>
          <w:rFonts w:ascii="Times New Roman" w:hAnsi="Times New Roman"/>
          <w:b w:val="0"/>
          <w:i/>
          <w:sz w:val="20"/>
        </w:rPr>
        <w:t>instrument-as-is</w:t>
      </w:r>
      <w:r>
        <w:rPr>
          <w:rFonts w:ascii="Times New Roman" w:hAnsi="Times New Roman"/>
          <w:b w:val="0"/>
          <w:i w:val="0"/>
          <w:sz w:val="20"/>
        </w:rPr>
        <w:t>;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a counterexample,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not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not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300 sampled images, 17–52 images per configuration (Appendix M.24.2); neither carries an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five of those lineages appearing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not fatal: Idefics3-8B leaves </w:t>
      </w:r>
      <w:r>
        <w:rPr>
          <w:rFonts w:ascii="Times New Roman" w:hAnsi="Times New Roman"/>
          <w:b/>
          <w:i w:val="0"/>
          <w:sz w:val="20"/>
        </w:rPr>
        <w:t>7.23%</w:t>
      </w:r>
      <w:r>
        <w:rPr>
          <w:rFonts w:ascii="Times New Roman" w:hAnsi="Times New Roman"/>
          <w:b w:val="0"/>
          <w:i w:val="0"/>
          <w:sz w:val="20"/>
        </w:rPr>
        <w:t xml:space="preserve"> on sparse aerial items whose ground truth is one to three objects — a missed tiny target, not a refused outlet — and deepseek-vl2-tiny leaves </w:t>
      </w:r>
      <w:r>
        <w:rPr>
          <w:rFonts w:ascii="Times New Roman" w:hAnsi="Times New Roman"/>
          <w:b/>
          <w:i w:val="0"/>
          <w:sz w:val="20"/>
        </w:rPr>
        <w:t>48.28%</w:t>
      </w:r>
      <w:r>
        <w:rPr>
          <w:rFonts w:ascii="Times New Roman" w:hAnsi="Times New Roman"/>
          <w:b w:val="0"/>
          <w:i w:val="0"/>
          <w:sz w:val="20"/>
        </w:rPr>
        <w:t xml:space="preserve">, never abstaining in the aerial domains while its dense-domain output is 99% unparsable, a format failure and a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bearing on scope, not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counting</w:t>
      </w:r>
      <w:r>
        <w:rPr>
          <w:rFonts w:ascii="Times New Roman" w:hAnsi="Times New Roman"/>
          <w:b w:val="0"/>
          <w:i w:val="0"/>
          <w:sz w:val="20"/>
        </w:rPr>
        <w:t xml:space="preserve"> (full verdicts and per-family numbers: Appendix M.31.2–M.31.4). </w:t>
      </w:r>
      <w:r>
        <w:rPr>
          <w:rFonts w:ascii="Times New Roman" w:hAnsi="Times New Roman"/>
          <w:b/>
          <w:i w:val="0"/>
          <w:sz w:val="20"/>
        </w:rPr>
        <w:t>On hosted endpoints the zero answer is contract-dependent, not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xml:space="preserve">). An observable zero answer can therefore be removed by the contract here too; whether the same latent state underlies it is </w:t>
      </w:r>
      <w:r>
        <w:rPr>
          <w:rFonts w:ascii="Times New Roman" w:hAnsi="Times New Roman"/>
          <w:b/>
          <w:i w:val="0"/>
          <w:sz w:val="20"/>
        </w:rPr>
        <w:t>not identified</w:t>
      </w:r>
      <w:r>
        <w:rPr>
          <w:rFonts w:ascii="Times New Roman" w:hAnsi="Times New Roman"/>
          <w:b w:val="0"/>
          <w:i w:val="0"/>
          <w:sz w:val="20"/>
        </w:rPr>
        <w:t>.</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not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stable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so our protocol fixes temperature at 0 (H.2); and the collapse of the VLM contract arm's output under overlap occurs for both 8B and 32B models at comparable overlap levels, making it a property of the task structure, not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not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so </w:t>
      </w:r>
      <w:r>
        <w:rPr>
          <w:rFonts w:ascii="Times New Roman" w:hAnsi="Times New Roman"/>
          <w:b/>
          <w:i w:val="0"/>
          <w:sz w:val="20"/>
        </w:rPr>
        <w:t>no gap whatsoever would be certified by this test</w:t>
      </w:r>
      <w:r>
        <w:rPr>
          <w:rFonts w:ascii="Times New Roman" w:hAnsi="Times New Roman"/>
          <w:b w:val="0"/>
          <w:i w:val="0"/>
          <w:sz w:val="20"/>
        </w:rPr>
        <w:t xml:space="preserve">; a 5-vs-5 split needs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what the design supports is the </w:t>
      </w:r>
      <w:r>
        <w:rPr>
          <w:rFonts w:ascii="Times New Roman" w:hAnsi="Times New Roman"/>
          <w:b/>
          <w:i w:val="0"/>
          <w:sz w:val="20"/>
        </w:rPr>
        <w:t>ordering</w:t>
      </w:r>
      <w:r>
        <w:rPr>
          <w:rFonts w:ascii="Times New Roman" w:hAnsi="Times New Roman"/>
          <w:b w:val="0"/>
          <w:i w:val="0"/>
          <w:sz w:val="20"/>
        </w:rPr>
        <w:t xml:space="preserve"> under the </w:t>
      </w:r>
      <w:r>
        <w:rPr>
          <w:rFonts w:ascii="Times New Roman" w:hAnsi="Times New Roman"/>
          <w:b/>
          <w:i w:val="0"/>
          <w:sz w:val="20"/>
        </w:rPr>
        <w:t>pooled relative deviation</w:t>
      </w:r>
      <w:r>
        <w:rPr>
          <w:rFonts w:ascii="Times New Roman" w:hAnsi="Times New Roman"/>
          <w:b w:val="0"/>
          <w:i w:val="0"/>
          <w:sz w:val="20"/>
        </w:rPr>
        <w:t xml:space="preserve"> (Appendix F.7, M.37). </w:t>
      </w:r>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still comes out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bootstrap that resamples whole units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while the wider resampling gives </w:t>
      </w:r>
      <w:r>
        <w:rPr>
          <w:rFonts w:ascii="Times New Roman" w:hAnsi="Times New Roman"/>
          <w:b/>
          <w:i w:val="0"/>
          <w:sz w:val="20"/>
        </w:rPr>
        <w:t>0.711–0.998</w:t>
      </w:r>
      <w:r>
        <w:rPr>
          <w:rFonts w:ascii="Times New Roman" w:hAnsi="Times New Roman"/>
          <w:b w:val="0"/>
          <w:i w:val="0"/>
          <w:sz w:val="20"/>
        </w:rPr>
        <w:t>;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also comes out </w:t>
      </w:r>
      <w:r>
        <w:rPr>
          <w:rFonts w:ascii="Times New Roman" w:hAnsi="Times New Roman"/>
          <w:b/>
          <w:i w:val="0"/>
          <w:sz w:val="20"/>
        </w:rPr>
        <w:t>exactly</w:t>
      </w:r>
      <w:r>
        <w:rPr>
          <w:rFonts w:ascii="Times New Roman" w:hAnsi="Times New Roman"/>
          <w:b w:val="0"/>
          <w:i w:val="0"/>
          <w:sz w:val="20"/>
        </w:rPr>
        <w:t xml:space="preserve"> the same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reducing the median span and equalising the factor </w:t>
      </w:r>
      <w:r>
        <w:rPr>
          <w:rFonts w:ascii="Times New Roman" w:hAnsi="Times New Roman"/>
          <w:b/>
          <w:i w:val="0"/>
          <w:sz w:val="20"/>
        </w:rPr>
        <w:t>across units</w:t>
      </w:r>
      <w:r>
        <w:rPr>
          <w:rFonts w:ascii="Times New Roman" w:hAnsi="Times New Roman"/>
          <w:b w:val="0"/>
          <w:i w:val="0"/>
          <w:sz w:val="20"/>
        </w:rPr>
        <w:t xml:space="preserve"> are separate requirements, and only the second preserves the ordering; </w:t>
      </w:r>
      <w:r>
        <w:rPr>
          <w:rFonts w:ascii="Times New Roman" w:hAnsi="Times New Roman"/>
          <w:b/>
          <w:i w:val="0"/>
          <w:sz w:val="20"/>
        </w:rPr>
        <w:t>no granularity validated here meets it, so transfer is unverified rather than excluded</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 travel (Appendix F.10;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r>
        <w:rPr>
          <w:rFonts w:ascii="Times New Roman" w:hAnsi="Times New Roman"/>
          <w:b w:val="0"/>
          <w:i w:val="0"/>
          <w:sz w:val="20"/>
        </w:rPr>
        <w:t xml:space="preserve"> </w:t>
      </w:r>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its grid density and caliber.</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is descriptive, and our own magnitude candidate (Proposition 3) is a component of the definition and is withdrawn;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tested lineage, tiling or grid reaches `pred/gt ≥ 1` at any threshold</w:t>
      </w:r>
      <w:r>
        <w:rPr>
          <w:rFonts w:ascii="Times New Roman" w:hAnsi="Times New Roman"/>
          <w:b w:val="0"/>
          <w:i w:val="0"/>
          <w:sz w:val="20"/>
        </w:rPr>
        <w:t xml:space="preserve">, the span collapsing near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not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The three annotation-free signals (cross-scale, cross-phrasing, cross-family agreement)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q_A (not Proposition 4's ground-truth-weighted w); the two deviations need reference counts on the same scored subset, so without them only that diagnosis is licensed. Records are kept only for completely paired inputs: the base arm's zero set is the denominator for every arm, and a missing arm reads as an undecidable partial, not a dropped denominator (M.22). Released API summaries give the checks only; the per-call records and the driver that lets one rebuild them ship with the package (M.11.2, M.37).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and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 </w:t>
      </w:r>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and §4.5's properties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not frozen.</w:t>
      </w:r>
    </w:p>
    <w:p>
      <w:r>
        <w:rPr>
          <w:rFonts w:ascii="Times New Roman" w:hAnsi="Times New Roman"/>
          <w:b/>
          <w:i w:val="0"/>
          <w:sz w:val="20"/>
        </w:rPr>
        <w:t>The abstention interpretation rests on a two-channel assumption.</w:t>
      </w:r>
      <w:r>
        <w:rPr>
          <w:rFonts w:ascii="Times New Roman" w:hAnsi="Times New Roman"/>
          <w:b w:val="0"/>
          <w:i w:val="0"/>
          <w:sz w:val="20"/>
        </w:rPr>
        <w:t xml:space="preserve"> It is </w:t>
      </w:r>
      <w:r>
        <w:rPr>
          <w:rFonts w:ascii="Times New Roman" w:hAnsi="Times New Roman"/>
          <w:b/>
          <w:i w:val="0"/>
          <w:sz w:val="20"/>
        </w:rPr>
        <w:t>partly testable</w:t>
      </w:r>
      <w:r>
        <w:rPr>
          <w:rFonts w:ascii="Times New Roman" w:hAnsi="Times New Roman"/>
          <w:b w:val="0"/>
          <w:i w:val="0"/>
          <w:sz w:val="20"/>
        </w:rPr>
        <w:t xml:space="preserve">, and its observable part is tested (§5.7): the controls measure the way the outlets are </w:t>
      </w:r>
      <w:r>
        <w:rPr>
          <w:rFonts w:ascii="Times New Roman" w:hAnsi="Times New Roman"/>
          <w:b w:val="0"/>
          <w:i/>
          <w:sz w:val="20"/>
        </w:rPr>
        <w:t>used</w:t>
      </w:r>
      <w:r>
        <w:rPr>
          <w:rFonts w:ascii="Times New Roman" w:hAnsi="Times New Roman"/>
          <w:b w:val="0"/>
          <w:i w:val="0"/>
          <w:sz w:val="20"/>
        </w:rPr>
        <w:t xml:space="preserve"> on the pools we state, not whether every answered zero is latent abstention.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bears on that condition: on </w:t>
      </w:r>
      <w:r>
        <w:rPr>
          <w:rFonts w:ascii="Times New Roman" w:hAnsi="Times New Roman"/>
          <w:b/>
          <w:i w:val="0"/>
          <w:sz w:val="20"/>
        </w:rPr>
        <w:t>306</w:t>
      </w:r>
      <w:r>
        <w:rPr>
          <w:rFonts w:ascii="Times New Roman" w:hAnsi="Times New Roman"/>
          <w:b w:val="0"/>
          <w:i w:val="0"/>
          <w:sz w:val="20"/>
        </w:rPr>
        <w:t xml:space="preserve"> crops whose correct answer is zero by the dataset's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easy-stratum items, whereas on dense items the census had answered zero the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w:t>
      </w:r>
      <w:r>
        <w:rPr>
          <w:rFonts w:ascii="Times New Roman" w:hAnsi="Times New Roman"/>
          <w:b/>
          <w:i w:val="0"/>
          <w:sz w:val="20"/>
        </w:rPr>
        <w:t>sensitivity and specificity on stated pools</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on the same </w:t>
      </w:r>
      <w:r>
        <w:rPr>
          <w:rFonts w:ascii="Times New Roman" w:hAnsi="Times New Roman"/>
          <w:b w:val="0"/>
          <w:i/>
          <w:sz w:val="20"/>
        </w:rPr>
        <w:t>instrument-as-is</w:t>
      </w:r>
      <w:r>
        <w:rPr>
          <w:rFonts w:ascii="Times New Roman" w:hAnsi="Times New Roman"/>
          <w:b w:val="0"/>
          <w:i w:val="0"/>
          <w:sz w:val="20"/>
        </w:rPr>
        <w:t xml:space="preserve"> panel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not clipped, the Table 3 pp terms the fallback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carries a </w:t>
      </w:r>
      <w:r>
        <w:rPr>
          <w:rFonts w:ascii="Times New Roman" w:hAnsi="Times New Roman"/>
          <w:b/>
          <w:i w:val="0"/>
          <w:sz w:val="20"/>
        </w:rPr>
        <w:t>~1.3% item-level stack band</w:t>
      </w:r>
      <w:r>
        <w:rPr>
          <w:rFonts w:ascii="Times New Roman" w:hAnsi="Times New Roman"/>
          <w:b w:val="0"/>
          <w:i w:val="0"/>
          <w:sz w:val="20"/>
        </w:rPr>
        <w:t xml:space="preserve">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not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(Appendix G.1, G.2 quote each as frozen); the rest are post hoc, including the tiling level, weight set and aggregation convention.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for one anchor build under Chinese prompts and GT weighting, the observed failure is an answered-zero output rather than a signed under-estimate;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observed contract-dependence of the answered zero</w:t>
      </w:r>
      <w:r>
        <w:rPr>
          <w:rFonts w:ascii="Times New Roman" w:hAnsi="Times New Roman"/>
          <w:b w:val="0"/>
          <w:i w:val="0"/>
          <w:sz w:val="20"/>
        </w:rPr>
        <w:t xml:space="preserve">: the outlet through which a model returns no number is set by the output contract, not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not a measured rate (§7.7). </w:t>
      </w:r>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i w:val="0"/>
          <w:sz w:val="20"/>
        </w:rPr>
        <w:t>Author contributions.</w:t>
      </w:r>
      <w:r>
        <w:rPr>
          <w:rFonts w:ascii="Times New Roman" w:hAnsi="Times New Roman"/>
          <w:b w:val="0"/>
          <w:i w:val="0"/>
          <w:sz w:val="20"/>
        </w:rPr>
        <w:t xml:space="preserve"> Conceptualization, methodology, software, validation, formal analysis, investigation, resources, data curation, writing — original draft, writing — review and editing, visualization, supervision, project administration: the author.</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 xml:space="preserve">The image corpora are public datasets, cited above. The derived per-image prediction records, analysis scripts and run logs that recompute the released aggregate numbers are released or flagged at https://github.com/YBP2005/P3 (CC BY 4.0), with per-file MD5s; the release-only gate and inputs absent from the package are in </w:t>
      </w:r>
      <w:r>
        <w:rPr>
          <w:rFonts w:ascii="Times New Roman" w:hAnsi="Times New Roman"/>
          <w:b w:val="0"/>
          <w:i/>
          <w:sz w:val="20"/>
        </w:rPr>
        <w:t>README.md</w:t>
      </w:r>
      <w:r>
        <w:rPr>
          <w:rFonts w:ascii="Times New Roman" w:hAnsi="Times New Roman"/>
          <w:b w:val="0"/>
          <w:i w:val="0"/>
          <w:sz w:val="20"/>
        </w:rPr>
        <w:t xml:space="preserve">. </w:t>
      </w:r>
      <w:r>
        <w:rPr>
          <w:rFonts w:ascii="Times New Roman" w:hAnsi="Times New Roman"/>
          <w:b w:val="0"/>
          <w:i/>
          <w:sz w:val="20"/>
        </w:rPr>
        <w:t>MANIFEST.csv</w:t>
      </w:r>
      <w:r>
        <w:rPr>
          <w:rFonts w:ascii="Times New Roman" w:hAnsi="Times New Roman"/>
          <w:b w:val="0"/>
          <w:i w:val="0"/>
          <w:sz w:val="20"/>
        </w:rPr>
        <w:t xml:space="preserve"> lists the tree path by path with each file's byte count and MD5; an independent audit checked the bytes and the MD5s of a </w:t>
      </w:r>
      <w:r>
        <w:rPr>
          <w:rFonts w:ascii="Times New Roman" w:hAnsi="Times New Roman"/>
          <w:b/>
          <w:i w:val="0"/>
          <w:sz w:val="20"/>
        </w:rPr>
        <w:t>selected subset</w:t>
      </w:r>
      <w:r>
        <w:rPr>
          <w:rFonts w:ascii="Times New Roman" w:hAnsi="Times New Roman"/>
          <w:b w:val="0"/>
          <w:i w:val="0"/>
          <w:sz w:val="20"/>
        </w:rPr>
        <w:t xml:space="preserve"> of those records and not of every one, so listed-file coverage holds for that subset alone, and integrity says nothing about whether the analyses are correct.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r>
        <w:rPr>
          <w:rFonts w:ascii="Times New Roman" w:hAnsi="Times New Roman"/>
          <w:b w:val="0"/>
          <w:i w:val="0"/>
          <w:sz w:val="20"/>
        </w:rPr>
        <w:t>56. Manski, C. F. Bounding the Accuracy of Diagnostic Tests, With Application to COVID-19 Antibody Tests. Epidemiology 32(2), 2021.</w:t>
      </w:r>
    </w:p>
    <w:p>
      <w:r>
        <w:rPr>
          <w:rFonts w:ascii="Times New Roman" w:hAnsi="Times New Roman"/>
          <w:b w:val="0"/>
          <w:i w:val="0"/>
          <w:sz w:val="20"/>
        </w:rPr>
        <w:t>57. Gonzalez, P., Castano, A., Chawla, N. V., et al. A Review on Quantification Learning. ACM Comput. Surv. 50:5, 2017. https://doi.org/10.1145/3117807.</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material is in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