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the open-weight models here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 Chinese prompts, one anchor build</w:t>
      </w:r>
      <w:r>
        <w:rPr>
          <w:rFonts w:ascii="Times New Roman" w:hAnsi="Times New Roman"/>
          <w:b w:val="0"/>
          <w:i w:val="0"/>
          <w:sz w:val="20"/>
        </w:rPr>
        <w:t xml:space="preserve">; the same abstention term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 one anchor build</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42.5%</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bounded rather than merely disclosed</w:t>
      </w:r>
      <w:r>
        <w:rPr>
          <w:rFonts w:ascii="Times New Roman" w:hAnsi="Times New Roman"/>
          <w:b w:val="0"/>
          <w:i w:val="0"/>
          <w:sz w:val="20"/>
        </w:rPr>
        <w:t xml:space="preserve">: by Proposition 7, a lineage with ratio κ identifies the abstention rate only to within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sz w:val="20"/>
        </w:rPr>
        <w:t xml:space="preserve"> for YOLO (UCF 0.121 → 0.176 → 0.173; ShanghaiTech-A unreachable → 0.260 → 0.183). Full ladders in </w:t>
      </w:r>
      <w:r>
        <w:rPr>
          <w:rFonts w:ascii="Times New Roman" w:hAnsi="Times New Roman"/>
          <w:b w:val="0"/>
          <w:i/>
          <w:sz w:val="20"/>
        </w:rPr>
        <w:t>Appendix E</w:t>
      </w:r>
      <w:r>
        <w:rPr>
          <w:rFonts w:ascii="Times New Roman" w:hAnsi="Times New Roman"/>
          <w:b w:val="0"/>
          <w:i w:val="0"/>
          <w:sz w:val="20"/>
        </w:rPr>
        <w:t>*.</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term,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(Terms are pp of the pooled relative deviation and sum to it exactly; S is the ground-truth-weighted share and the last column the same term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42.5%</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42.5%</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On this benchmark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w:t>
      </w:r>
      <w:r>
        <w:rPr>
          <w:rFonts w:ascii="Times New Roman" w:hAnsi="Times New Roman"/>
          <w:b w:val="0"/>
          <w:i w:val="0"/>
          <w:sz w:val="20"/>
        </w:rPr>
        <w:t>, 1 inversion of 36) — the same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(Appendices M.19.16,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at https://github.com/YBP2005/P3 (CC BY 4.0), with a per-file MD5 manifest.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