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Abstention dominates the aggregate under-count on dense scenes for one anchor build and language: signed error direction in object counting with vision-language models</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Evaluation reports symmetric magnitudes: 100 and 150 look alike. We treat the </w:t>
      </w:r>
      <w:r>
        <w:rPr>
          <w:rFonts w:ascii="Times New Roman" w:hAnsi="Times New Roman"/>
          <w:b/>
          <w:i w:val="0"/>
          <w:sz w:val="20"/>
        </w:rPr>
        <w:t>signed error direction</w:t>
      </w:r>
      <w:r>
        <w:rPr>
          <w:rFonts w:ascii="Times New Roman" w:hAnsi="Times New Roman"/>
          <w:b w:val="0"/>
          <w:i w:val="0"/>
          <w:sz w:val="20"/>
        </w:rPr>
        <w:t xml:space="preserve"> as a measurable dimension and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for counting that separates a suppressed abstention from a true zero,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the open-weight models here (§5.7, §8.2), the dominant dense-scene failure is </w:t>
      </w:r>
      <w:r>
        <w:rPr>
          <w:rFonts w:ascii="Times New Roman" w:hAnsi="Times New Roman"/>
          <w:b/>
          <w:i w:val="0"/>
          <w:sz w:val="20"/>
        </w:rPr>
        <w:t>not underestimation but abstention</w:t>
      </w:r>
      <w:r>
        <w:rPr>
          <w:rFonts w:ascii="Times New Roman" w:hAnsi="Times New Roman"/>
          <w:b w:val="0"/>
          <w:i w:val="0"/>
          <w:sz w:val="20"/>
        </w:rPr>
        <w:t xml:space="preserve"> — a literal "0" — accounting for </w:t>
      </w:r>
      <w:r>
        <w:rPr>
          <w:rFonts w:ascii="Times New Roman" w:hAnsi="Times New Roman"/>
          <w:b/>
          <w:i w:val="0"/>
          <w:sz w:val="20"/>
        </w:rPr>
        <w:t>82–94%</w:t>
      </w:r>
      <w:r>
        <w:rPr>
          <w:rFonts w:ascii="Times New Roman" w:hAnsi="Times New Roman"/>
          <w:b w:val="0"/>
          <w:i w:val="0"/>
          <w:sz w:val="20"/>
        </w:rPr>
        <w:t xml:space="preserve"> of the total under-count under ground-truth-weighted share (</w:t>
      </w:r>
      <w:r>
        <w:rPr>
          <w:rFonts w:ascii="Times New Roman" w:hAnsi="Times New Roman"/>
          <w:b/>
          <w:i w:val="0"/>
          <w:sz w:val="20"/>
        </w:rPr>
        <w:t>base arm, Chinese prompts, one anchor build</w:t>
      </w:r>
      <w:r>
        <w:rPr>
          <w:rFonts w:ascii="Times New Roman" w:hAnsi="Times New Roman"/>
          <w:b w:val="0"/>
          <w:i w:val="0"/>
          <w:sz w:val="20"/>
        </w:rPr>
        <w:t xml:space="preserve">; the </w:t>
      </w:r>
      <w:r>
        <w:rPr>
          <w:rFonts w:ascii="Times New Roman" w:hAnsi="Times New Roman"/>
          <w:b/>
          <w:i w:val="0"/>
          <w:sz w:val="20"/>
        </w:rPr>
        <w:t>unweighted</w:t>
      </w:r>
      <w:r>
        <w:rPr>
          <w:rFonts w:ascii="Times New Roman" w:hAnsi="Times New Roman"/>
          <w:b w:val="0"/>
          <w:i w:val="0"/>
          <w:sz w:val="20"/>
        </w:rPr>
        <w:t xml:space="preserve"> convention gives </w:t>
      </w:r>
      <w:r>
        <w:rPr>
          <w:rFonts w:ascii="Times New Roman" w:hAnsi="Times New Roman"/>
          <w:b/>
          <w:i w:val="0"/>
          <w:sz w:val="20"/>
        </w:rPr>
        <w:t>53.9–68.2%</w:t>
      </w:r>
      <w:r>
        <w:rPr>
          <w:rFonts w:ascii="Times New Roman" w:hAnsi="Times New Roman"/>
          <w:b w:val="0"/>
          <w:i w:val="0"/>
          <w:sz w:val="20"/>
        </w:rPr>
        <w:t xml:space="preserv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w:t>
      </w:r>
      <w:r>
        <w:rPr>
          <w:rFonts w:ascii="Times New Roman" w:hAnsi="Times New Roman"/>
          <w:b w:val="0"/>
          <w:i w:val="0"/>
          <w:sz w:val="20"/>
        </w:rPr>
        <w:t xml:space="preserve"> (§8.2).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Appendix M). The gate is the </w:t>
      </w:r>
      <w:r>
        <w:rPr>
          <w:rFonts w:ascii="Times New Roman" w:hAnsi="Times New Roman"/>
          <w:b/>
          <w:i w:val="0"/>
          <w:sz w:val="20"/>
        </w:rPr>
        <w:t>availability of an abstention token</w:t>
      </w:r>
      <w:r>
        <w:rPr>
          <w:rFonts w:ascii="Times New Roman" w:hAnsi="Times New Roman"/>
          <w:b w:val="0"/>
          <w:i w:val="0"/>
          <w:sz w:val="20"/>
        </w:rPr>
        <w:t>, not enumeration demand (Appendix M.18). Abstention is a behaviour, not a capability ceiling: gated by legibility rather than count, removable by tiling (</w:t>
      </w:r>
      <w:r>
        <w:rPr>
          <w:rFonts w:ascii="Times New Roman" w:hAnsi="Times New Roman"/>
          <w:b/>
          <w:i w:val="0"/>
          <w:sz w:val="20"/>
        </w:rPr>
        <w:t>56.6% → 0.0%</w:t>
      </w:r>
      <w:r>
        <w:rPr>
          <w:rFonts w:ascii="Times New Roman" w:hAnsi="Times New Roman"/>
          <w:b w:val="0"/>
          <w:i w:val="0"/>
          <w:sz w:val="20"/>
        </w:rPr>
        <w:t xml:space="preserve">) or, at a directional cost, by prompt relaxation (ρ: </w:t>
      </w:r>
      <w:r>
        <w:rPr>
          <w:rFonts w:ascii="Times New Roman" w:hAnsi="Times New Roman"/>
          <w:b/>
          <w:i w:val="0"/>
          <w:sz w:val="20"/>
        </w:rPr>
        <w:t>−82% → +234%</w:t>
      </w:r>
      <w:r>
        <w:rPr>
          <w:rFonts w:ascii="Times New Roman" w:hAnsi="Times New Roman"/>
          <w:b w:val="0"/>
          <w:i w:val="0"/>
          <w:sz w:val="20"/>
        </w:rPr>
        <w:t xml:space="preserve">). Span of the direction is a property of implementation × training domain × data domain × protocol, not of a paradigm — </w:t>
      </w:r>
      <w:r>
        <w:rPr>
          <w:rFonts w:ascii="Times New Roman" w:hAnsi="Times New Roman"/>
          <w:b/>
          <w:i w:val="0"/>
          <w:sz w:val="20"/>
        </w:rPr>
        <w:t>2–3.4×</w:t>
      </w:r>
      <w:r>
        <w:rPr>
          <w:rFonts w:ascii="Times New Roman" w:hAnsi="Times New Roman"/>
          <w:b w:val="0"/>
          <w:i w:val="0"/>
          <w:sz w:val="20"/>
        </w:rPr>
        <w:t xml:space="preserve"> across official implementations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same protocol and items), </w:t>
      </w:r>
      <w:r>
        <w:rPr>
          <w:rFonts w:ascii="Times New Roman" w:hAnsi="Times New Roman"/>
          <w:b/>
          <w:i w:val="0"/>
          <w:sz w:val="20"/>
        </w:rPr>
        <w:t>3.5×</w:t>
      </w:r>
      <w:r>
        <w:rPr>
          <w:rFonts w:ascii="Times New Roman" w:hAnsi="Times New Roman"/>
          <w:b w:val="0"/>
          <w:i w:val="0"/>
          <w:sz w:val="20"/>
        </w:rPr>
        <w:t xml:space="preserve"> under a training-domain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Appendix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and only under the </w:t>
      </w:r>
      <w:r>
        <w:rPr>
          <w:rFonts w:ascii="Times New Roman" w:hAnsi="Times New Roman"/>
          <w:b/>
          <w:i w:val="0"/>
          <w:sz w:val="20"/>
        </w:rPr>
        <w:t>level sets and calibers compared</w:t>
      </w:r>
      <w:r>
        <w:rPr>
          <w:rFonts w:ascii="Times New Roman" w:hAnsi="Times New Roman"/>
          <w:b w:val="0"/>
          <w:i w:val="0"/>
          <w:sz w:val="20"/>
        </w:rPr>
        <w:t xml:space="preserve">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Object counting is used in surveillance and resource scheduling, where the costs of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w:t>
      </w:r>
      <w:r>
        <w:rPr>
          <w:rFonts w:ascii="Times New Roman" w:hAnsi="Times New Roman"/>
          <w:b/>
          <w:i w:val="0"/>
          <w:sz w:val="20"/>
        </w:rPr>
        <w:t>signed direction</w:t>
      </w:r>
      <w:r>
        <w:rPr>
          <w:rFonts w:ascii="Times New Roman" w:hAnsi="Times New Roman"/>
          <w:b w:val="0"/>
          <w:i w:val="0"/>
          <w:sz w:val="20"/>
        </w:rPr>
        <w:t xml:space="preserve"> of the error has therefore remained implicit. Our first question is: </w:t>
      </w:r>
      <w:r>
        <w:rPr>
          <w:rFonts w:ascii="Times New Roman" w:hAnsi="Times New Roman"/>
          <w:b w:val="0"/>
          <w:i/>
          <w:sz w:val="20"/>
        </w:rPr>
        <w:t>can the error direction of a counting system be manipulated systematically, and what determines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answering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the dominant component of these "underestimates" is not underestimation but abstention</w:t>
      </w:r>
      <w:r>
        <w:rPr>
          <w:rFonts w:ascii="Times New Roman" w:hAnsi="Times New Roman"/>
          <w:b w:val="0"/>
          <w:i w:val="0"/>
          <w:sz w:val="20"/>
        </w:rPr>
        <w:t xml:space="preserve">: the model declines to estimate instances it cannot individually ascertain, and expresses that refusal as the </w:t>
      </w:r>
      <w:r>
        <w:rPr>
          <w:rFonts w:ascii="Times New Roman" w:hAnsi="Times New Roman"/>
          <w:b/>
          <w:i w:val="0"/>
          <w:sz w:val="20"/>
        </w:rPr>
        <w:t>literal answer "0"</w:t>
      </w:r>
      <w:r>
        <w:rPr>
          <w:rFonts w:ascii="Times New Roman" w:hAnsi="Times New Roman"/>
          <w:b w:val="0"/>
          <w:i w:val="0"/>
          <w:sz w:val="20"/>
        </w:rPr>
        <w:t xml:space="preserve">. Under a ground-truth-weighted convention, answering 0 accounts for </w:t>
      </w:r>
      <w:r>
        <w:rPr>
          <w:rFonts w:ascii="Times New Roman" w:hAnsi="Times New Roman"/>
          <w:b/>
          <w:i w:val="0"/>
          <w:sz w:val="20"/>
        </w:rPr>
        <w:t>82–94%</w:t>
      </w:r>
      <w:r>
        <w:rPr>
          <w:rFonts w:ascii="Times New Roman" w:hAnsi="Times New Roman"/>
          <w:b w:val="0"/>
          <w:i w:val="0"/>
          <w:sz w:val="20"/>
        </w:rPr>
        <w:t xml:space="preserve"> of the total under-count (</w:t>
      </w:r>
      <w:r>
        <w:rPr>
          <w:rFonts w:ascii="Times New Roman" w:hAnsi="Times New Roman"/>
          <w:b/>
          <w:i w:val="0"/>
          <w:sz w:val="20"/>
        </w:rPr>
        <w:t>base contract arm, Chinese prompts, one anchor build</w:t>
      </w:r>
      <w:r>
        <w:rPr>
          <w:rFonts w:ascii="Times New Roman" w:hAnsi="Times New Roman"/>
          <w:b w:val="0"/>
          <w:i w:val="0"/>
          <w:sz w:val="20"/>
        </w:rPr>
        <w:t xml:space="preserve">; over all arms and domains the share spans </w:t>
      </w:r>
      <w:r>
        <w:rPr>
          <w:rFonts w:ascii="Times New Roman" w:hAnsi="Times New Roman"/>
          <w:b/>
          <w:i w:val="0"/>
          <w:sz w:val="20"/>
        </w:rPr>
        <w:t>0–99.4%</w:t>
      </w:r>
      <w:r>
        <w:rPr>
          <w:rFonts w:ascii="Times New Roman" w:hAnsi="Times New Roman"/>
          <w:b w:val="0"/>
          <w:i w:val="0"/>
          <w:sz w:val="20"/>
        </w:rPr>
        <w:t xml:space="preserve"> — the </w:t>
      </w:r>
      <w:r>
        <w:rPr>
          <w:rFonts w:ascii="Times New Roman" w:hAnsi="Times New Roman"/>
          <w:b w:val="0"/>
          <w:i/>
          <w:sz w:val="20"/>
        </w:rPr>
        <w:t>over</w:t>
      </w:r>
      <w:r>
        <w:rPr>
          <w:rFonts w:ascii="Times New Roman" w:hAnsi="Times New Roman"/>
          <w:b w:val="0"/>
          <w:i w:val="0"/>
          <w:sz w:val="20"/>
        </w:rPr>
        <w:t xml:space="preserve"> arm never abstains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 prompts</w:t>
      </w:r>
      <w:r>
        <w:rPr>
          <w:rFonts w:ascii="Times New Roman" w:hAnsi="Times New Roman"/>
          <w:b w:val="0"/>
          <w:i w:val="0"/>
          <w:sz w:val="20"/>
        </w:rPr>
        <w:t xml:space="preserve"> (Appendix M.39)).</w:t>
      </w:r>
    </w:p>
    <w:p>
      <w:r>
        <w:rPr>
          <w:rFonts w:ascii="Times New Roman" w:hAnsi="Times New Roman"/>
          <w:b w:val="0"/>
          <w:i w:val="0"/>
          <w:sz w:val="20"/>
        </w:rPr>
        <w:t>The distinction changes three things.</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under conventional aggregation, as </w:t>
      </w:r>
      <w:r>
        <w:rPr>
          <w:rFonts w:ascii="Times New Roman" w:hAnsi="Times New Roman"/>
          <w:b w:val="0"/>
          <w:i/>
          <w:sz w:val="20"/>
        </w:rPr>
        <w:t>mild underestimation</w:t>
      </w:r>
      <w:r>
        <w:rPr>
          <w:rFonts w:ascii="Times New Roman" w:hAnsi="Times New Roman"/>
          <w:b w:val="0"/>
          <w:i w:val="0"/>
          <w:sz w:val="20"/>
        </w:rPr>
        <w:t xml:space="preserve"> — whereas on six images in ten it produces </w:t>
      </w:r>
      <w:r>
        <w:rPr>
          <w:rFonts w:ascii="Times New Roman" w:hAnsi="Times New Roman"/>
          <w:b/>
          <w:i w:val="0"/>
          <w:sz w:val="20"/>
        </w:rPr>
        <w:t>no estimate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 to correct.</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[2], but they sit in </w:t>
      </w:r>
      <w:r>
        <w:rPr>
          <w:rFonts w:ascii="Times New Roman" w:hAnsi="Times New Roman"/>
          <w:b/>
          <w:i w:val="0"/>
          <w:sz w:val="20"/>
        </w:rPr>
        <w:t>classification, question answering and reasoning</w:t>
      </w:r>
      <w:r>
        <w:rPr>
          <w:rFonts w:ascii="Times New Roman" w:hAnsi="Times New Roman"/>
          <w:b w:val="0"/>
          <w:i w:val="0"/>
          <w:sz w:val="20"/>
        </w:rPr>
        <w:t xml:space="preserve">, where abstention is </w:t>
      </w:r>
      <w:r>
        <w:rPr>
          <w:rFonts w:ascii="Times New Roman" w:hAnsi="Times New Roman"/>
          <w:b/>
          <w:i w:val="0"/>
          <w:sz w:val="20"/>
        </w:rPr>
        <w:t>explicitly declared</w:t>
      </w:r>
      <w:r>
        <w:rPr>
          <w:rFonts w:ascii="Times New Roman" w:hAnsi="Times New Roman"/>
          <w:b w:val="0"/>
          <w:i w:val="0"/>
          <w:sz w:val="20"/>
        </w:rPr>
        <w:t xml:space="preserve">. Counting differs in three ways: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so its acceptability is a deployment question; and there is </w:t>
      </w:r>
      <w:r>
        <w:rPr>
          <w:rFonts w:ascii="Times New Roman" w:hAnsi="Times New Roman"/>
          <w:b/>
          <w:i w:val="0"/>
          <w:sz w:val="20"/>
        </w:rPr>
        <w:t>no dependable confidence</w:t>
      </w:r>
      <w:r>
        <w:rPr>
          <w:rFonts w:ascii="Times New Roman" w:hAnsi="Times New Roman"/>
          <w:b w:val="0"/>
          <w:i w:val="0"/>
          <w:sz w:val="20"/>
        </w:rPr>
        <w:t xml:space="preserve"> on which to build a rejection rule. The framework cannot be transplanted directly — abstention must first be </w:t>
      </w:r>
      <w:r>
        <w:rPr>
          <w:rFonts w:ascii="Times New Roman" w:hAnsi="Times New Roman"/>
          <w:b/>
          <w:i w:val="0"/>
          <w:sz w:val="20"/>
        </w:rPr>
        <w:t>operationalised and that operationalisation validated</w:t>
      </w:r>
      <w:r>
        <w:rPr>
          <w:rFonts w:ascii="Times New Roman" w:hAnsi="Times New Roman"/>
          <w:b w:val="0"/>
          <w:i w:val="0"/>
          <w:sz w:val="20"/>
        </w:rPr>
        <w:t xml:space="preserve"> in the counting domain (§3.6, Proposition 1) — and it was this step that exposed the problem with the received reading.</w:t>
      </w:r>
    </w:p>
    <w:p>
      <w:r>
        <w:rPr>
          <w:rFonts w:ascii="Times New Roman" w:hAnsi="Times New Roman"/>
          <w:b/>
          <w:i w:val="0"/>
          <w:sz w:val="20"/>
        </w:rPr>
        <w:t>Four properties of abstention (main results).</w:t>
      </w:r>
      <w:r>
        <w:rPr>
          <w:rFonts w:ascii="Times New Roman" w:hAnsi="Times New Roman"/>
          <w:b w:val="0"/>
          <w:i w:val="0"/>
          <w:sz w:val="20"/>
        </w:rPr>
        <w:t xml:space="preserve"> </w:t>
      </w:r>
      <w:r>
        <w:rPr>
          <w:rFonts w:ascii="Times New Roman" w:hAnsi="Times New Roman"/>
          <w:b/>
          <w:i w:val="0"/>
          <w:sz w:val="20"/>
        </w:rPr>
        <w:t>① Measurable, with a lineage-specific expression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if a lineage abstained mainly in natural language, its ratio of answered-zero to textual refusal would approach 0.</w:t>
      </w:r>
    </w:p>
    <w:p>
      <w:r>
        <w:rPr>
          <w:rFonts w:ascii="Times New Roman" w:hAnsi="Times New Roman"/>
          <w:b/>
          <w:i w:val="0"/>
          <w:sz w:val="20"/>
        </w:rPr>
        <w:t>② Gated by per-instance legibility, not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xml:space="preserve">: on count-controlled grids, arrangement and blur alone drive abstention from 0% to 90%, while on clean synthetic dots the base arm never abstains yet still underestimates by </w:t>
      </w:r>
      <w:r>
        <w:rPr>
          <w:rFonts w:ascii="Times New Roman" w:hAnsi="Times New Roman"/>
          <w:b/>
          <w:i w:val="0"/>
          <w:sz w:val="20"/>
        </w:rPr>
        <w:t>up to 42.5%</w:t>
      </w:r>
      <w:r>
        <w:rPr>
          <w:rFonts w:ascii="Times New Roman" w:hAnsi="Times New Roman"/>
          <w:b w:val="0"/>
          <w:i w:val="0"/>
          <w:sz w:val="20"/>
        </w:rPr>
        <w:t xml:space="preserve">, and in microscopy abstention is </w:t>
      </w:r>
      <w:r>
        <w:rPr>
          <w:rFonts w:ascii="Times New Roman" w:hAnsi="Times New Roman"/>
          <w:b/>
          <w:i w:val="0"/>
          <w:sz w:val="20"/>
        </w:rPr>
        <w:t>0.0%</w:t>
      </w:r>
      <w:r>
        <w:rPr>
          <w:rFonts w:ascii="Times New Roman" w:hAnsi="Times New Roman"/>
          <w:b w:val="0"/>
          <w:i w:val="0"/>
          <w:sz w:val="20"/>
        </w:rPr>
        <w:t xml:space="preserve"> with a bias of </w:t>
      </w:r>
      <w:r>
        <w:rPr>
          <w:rFonts w:ascii="Times New Roman" w:hAnsi="Times New Roman"/>
          <w:b/>
          <w:i w:val="0"/>
          <w:sz w:val="20"/>
        </w:rPr>
        <w:t>−50.1%</w:t>
      </w:r>
      <w:r>
        <w:rPr>
          <w:rFonts w:ascii="Times New Roman" w:hAnsi="Times New Roman"/>
          <w:b w:val="0"/>
          <w:i w:val="0"/>
          <w:sz w:val="20"/>
        </w:rPr>
        <w:t xml:space="preserve"> (§5.6, §5.7).</w:t>
      </w:r>
    </w:p>
    <w:p>
      <w:r>
        <w:rPr>
          <w:rFonts w:ascii="Times New Roman" w:hAnsi="Times New Roman"/>
          <w:b/>
          <w:i w:val="0"/>
          <w:sz w:val="20"/>
        </w:rPr>
        <w:t>③ Switchable from both ends</w:t>
      </w:r>
      <w:r>
        <w:rPr>
          <w:rFonts w:ascii="Times New Roman" w:hAnsi="Times New Roman"/>
          <w:b w:val="0"/>
          <w:i w:val="0"/>
          <w:sz w:val="20"/>
        </w:rPr>
        <w:t>, because it is a behaviour: tiling (</w:t>
      </w:r>
      <w:r>
        <w:rPr>
          <w:rFonts w:ascii="Times New Roman" w:hAnsi="Times New Roman"/>
          <w:b/>
          <w:i w:val="0"/>
          <w:sz w:val="20"/>
        </w:rPr>
        <w:t>Fig. 1</w:t>
      </w:r>
      <w:r>
        <w:rPr>
          <w:rFonts w:ascii="Times New Roman" w:hAnsi="Times New Roman"/>
          <w:b w:val="0"/>
          <w:i w:val="0"/>
          <w:sz w:val="20"/>
        </w:rPr>
        <w:t xml:space="preserve">) drops the ShanghaiTech-A [3]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20"/>
        </w:rPr>
        <w:t>④ Removing abstention costs direction.</w:t>
      </w:r>
      <w:r>
        <w:rPr>
          <w:rFonts w:ascii="Times New Roman" w:hAnsi="Times New Roman"/>
          <w:b w:val="0"/>
          <w:i w:val="0"/>
          <w:sz w:val="20"/>
        </w:rPr>
        <w:t xml:space="preserve"> Prompt relaxation (</w:t>
      </w:r>
      <w:r>
        <w:rPr>
          <w:rFonts w:ascii="Times New Roman" w:hAnsi="Times New Roman"/>
          <w:b/>
          <w:i w:val="0"/>
          <w:sz w:val="20"/>
        </w:rPr>
        <w:t>Fig. 2</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so </w:t>
      </w:r>
      <w:r>
        <w:rPr>
          <w:rFonts w:ascii="Times New Roman" w:hAnsi="Times New Roman"/>
          <w:b/>
          <w:i w:val="0"/>
          <w:sz w:val="20"/>
        </w:rPr>
        <w:t>accuracy and directional controllability cannot both be obtained</w:t>
      </w:r>
      <w:r>
        <w:rPr>
          <w:rFonts w:ascii="Times New Roman" w:hAnsi="Times New Roman"/>
          <w:b w:val="0"/>
          <w:i w:val="0"/>
          <w:sz w:val="20"/>
        </w:rPr>
        <w:t xml:space="preserve">; tiling is the only mechanism that improves both. </w:t>
      </w:r>
      <w:r>
        <w:rPr>
          <w:rFonts w:ascii="Times New Roman" w:hAnsi="Times New Roman"/>
          <w:b w:val="0"/>
          <w:i/>
          <w:sz w:val="20"/>
        </w:rPr>
        <w:t>(Per-property numbers: Appendix L.)</w:t>
      </w:r>
    </w:p>
    <w:p>
      <w:pPr>
        <w:spacing w:line="240" w:lineRule="auto"/>
        <w:jc w:val="center"/>
      </w:pPr>
      <w:r>
        <w:drawing>
          <wp:inline xmlns:a="http://schemas.openxmlformats.org/drawingml/2006/main" xmlns:pic="http://schemas.openxmlformats.org/drawingml/2006/picture">
            <wp:extent cx="2736000" cy="1985806"/>
            <wp:docPr id="2" name="Picture 2"/>
            <wp:cNvGraphicFramePr>
              <a:graphicFrameLocks noChangeAspect="1"/>
            </wp:cNvGraphicFramePr>
            <a:graphic>
              <a:graphicData uri="http://schemas.openxmlformats.org/drawingml/2006/picture">
                <pic:pic>
                  <pic:nvPicPr>
                    <pic:cNvPr id="0" name="F11_abstention_vs_undercount.png"/>
                    <pic:cNvPicPr/>
                  </pic:nvPicPr>
                  <pic:blipFill>
                    <a:blip r:embed="rId11"/>
                    <a:stretch>
                      <a:fillRect/>
                    </a:stretch>
                  </pic:blipFill>
                  <pic:spPr>
                    <a:xfrm>
                      <a:off x="0" y="0"/>
                      <a:ext cx="2736000" cy="1985806"/>
                    </a:xfrm>
                    <a:prstGeom prst="rect"/>
                  </pic:spPr>
                </pic:pic>
              </a:graphicData>
            </a:graphic>
          </wp:inline>
        </w:drawing>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the </w:t>
      </w:r>
      <w:r>
        <w:rPr>
          <w:rFonts w:ascii="Times New Roman" w:hAnsi="Times New Roman"/>
          <w:b/>
          <w:i w:val="0"/>
          <w:sz w:val="20"/>
        </w:rPr>
        <w:t>ordering</w:t>
      </w:r>
      <w:r>
        <w:rPr>
          <w:rFonts w:ascii="Times New Roman" w:hAnsi="Times New Roman"/>
          <w:b w:val="0"/>
          <w:i w:val="0"/>
          <w:sz w:val="20"/>
        </w:rPr>
        <w:t xml:space="preserve"> is not a function of the scanning grid, the </w:t>
      </w:r>
      <w:r>
        <w:rPr>
          <w:rFonts w:ascii="Times New Roman" w:hAnsi="Times New Roman"/>
          <w:b/>
          <w:i w:val="0"/>
          <w:sz w:val="20"/>
        </w:rPr>
        <w:t>magnitudes</w:t>
      </w:r>
      <w:r>
        <w:rPr>
          <w:rFonts w:ascii="Times New Roman" w:hAnsi="Times New Roman"/>
          <w:b w:val="0"/>
          <w:i w:val="0"/>
          <w:sz w:val="20"/>
        </w:rPr>
        <w:t xml:space="preserve"> are (median retention </w:t>
      </w:r>
      <w:r>
        <w:rPr>
          <w:rFonts w:ascii="Times New Roman" w:hAnsi="Times New Roman"/>
          <w:b/>
          <w:i w:val="0"/>
          <w:sz w:val="20"/>
        </w:rPr>
        <w:t>0.51–0.67</w:t>
      </w:r>
      <w:r>
        <w:rPr>
          <w:rFonts w:ascii="Times New Roman" w:hAnsi="Times New Roman"/>
          <w:b w:val="0"/>
          <w:i w:val="0"/>
          <w:sz w:val="20"/>
        </w:rPr>
        <w:t xml:space="preserve"> under random thinning; F.10). What is </w:t>
      </w:r>
      <w:r>
        <w:rPr>
          <w:rFonts w:ascii="Times New Roman" w:hAnsi="Times New Roman"/>
          <w:b/>
          <w:i w:val="0"/>
          <w:sz w:val="20"/>
        </w:rPr>
        <w:t>not</w:t>
      </w:r>
      <w:r>
        <w:rPr>
          <w:rFonts w:ascii="Times New Roman" w:hAnsi="Times New Roman"/>
          <w:b w:val="0"/>
          <w:i w:val="0"/>
          <w:sz w:val="20"/>
        </w:rPr>
        <w:t xml:space="preserve"> established is a partition: the separating split is </w:t>
      </w:r>
      <w:r>
        <w:rPr>
          <w:rFonts w:ascii="Times New Roman" w:hAnsi="Times New Roman"/>
          <w:b/>
          <w:i w:val="0"/>
          <w:sz w:val="20"/>
        </w:rPr>
        <w:t>1.6 pp</w:t>
      </w:r>
      <w:r>
        <w:rPr>
          <w:rFonts w:ascii="Times New Roman" w:hAnsi="Times New Roman"/>
          <w:b w:val="0"/>
          <w:i w:val="0"/>
          <w:sz w:val="20"/>
        </w:rPr>
        <w:t xml:space="preserve">, below our own noise floor (2.15–6.46 pp), so we report a </w:t>
      </w:r>
      <w:r>
        <w:rPr>
          <w:rFonts w:ascii="Times New Roman" w:hAnsi="Times New Roman"/>
          <w:b/>
          <w:i w:val="0"/>
          <w:sz w:val="20"/>
        </w:rPr>
        <w:t>candidate</w:t>
      </w:r>
      <w:r>
        <w:rPr>
          <w:rFonts w:ascii="Times New Roman" w:hAnsi="Times New Roman"/>
          <w:b w:val="0"/>
          <w:i w:val="0"/>
          <w:sz w:val="20"/>
        </w:rPr>
        <w:t xml:space="preserve"> only, and claim neither two anchor zones nor bimodality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We present the identities of §3.8 and the appendices as </w:t>
      </w:r>
      <w:r>
        <w:rPr>
          <w:rFonts w:ascii="Times New Roman" w:hAnsi="Times New Roman"/>
          <w:b/>
          <w:i w:val="0"/>
          <w:sz w:val="20"/>
        </w:rPr>
        <w:t>that apparatus</w:t>
      </w:r>
      <w:r>
        <w:rPr>
          <w:rFonts w:ascii="Times New Roman" w:hAnsi="Times New Roman"/>
          <w:b w:val="0"/>
          <w:i w:val="0"/>
          <w:sz w:val="20"/>
        </w:rPr>
        <w:t xml:space="preserve">, not as findings: they are arithmetic, and their role is that every headline number is either recomputed from the released records or labelled a transcription (Appendix F.9). 1. </w:t>
      </w:r>
      <w:r>
        <w:rPr>
          <w:rFonts w:ascii="Times New Roman" w:hAnsi="Times New Roman"/>
          <w:b/>
          <w:i w:val="0"/>
          <w:sz w:val="20"/>
        </w:rPr>
        <w:t>Finding 1 — on dense scenes the aggregate under-count is mostly a suppressed abstention, and the suppression is set by the output contract.</w:t>
      </w:r>
      <w:r>
        <w:rPr>
          <w:rFonts w:ascii="Times New Roman" w:hAnsi="Times New Roman"/>
          <w:b w:val="0"/>
          <w:i w:val="0"/>
          <w:sz w:val="20"/>
        </w:rPr>
        <w:t xml:space="preserve"> Within the cells studied here, literal-zero outputs dominate the pooled under-count (§5.5); for InternVL2.5-8B [4] the answered-zero channel covers only 69.69% of abstentions (§3.6, Proposition 7); and </w:t>
      </w:r>
      <w:r>
        <w:rPr>
          <w:rFonts w:ascii="Times New Roman" w:hAnsi="Times New Roman"/>
          <w:b/>
          <w:i w:val="0"/>
          <w:sz w:val="20"/>
        </w:rPr>
        <w:t>the outlet</w:t>
      </w:r>
      <w:r>
        <w:rPr>
          <w:rFonts w:ascii="Times New Roman" w:hAnsi="Times New Roman"/>
          <w:b w:val="0"/>
          <w:i w:val="0"/>
          <w:sz w:val="20"/>
        </w:rPr>
        <w:t xml:space="preserve"> is a property of the serving configuration rather than of the lineage (the </w:t>
      </w:r>
      <w:r>
        <w:rPr>
          <w:rFonts w:ascii="Times New Roman" w:hAnsi="Times New Roman"/>
          <w:b/>
          <w:i w:val="0"/>
          <w:sz w:val="20"/>
        </w:rPr>
        <w:t>rate</w:t>
      </w:r>
      <w:r>
        <w:rPr>
          <w:rFonts w:ascii="Times New Roman" w:hAnsi="Times New Roman"/>
          <w:b w:val="0"/>
          <w:i w:val="0"/>
          <w:sz w:val="20"/>
        </w:rPr>
        <w:t xml:space="preserve"> is not; Appendix M.47) — given an abstention token </w:t>
      </w:r>
      <w:r>
        <w:rPr>
          <w:rFonts w:ascii="Times New Roman" w:hAnsi="Times New Roman"/>
          <w:b/>
          <w:i w:val="0"/>
          <w:sz w:val="20"/>
        </w:rPr>
        <w:t>1591/1591</w:t>
      </w:r>
      <w:r>
        <w:rPr>
          <w:rFonts w:ascii="Times New Roman" w:hAnsi="Times New Roman"/>
          <w:b w:val="0"/>
          <w:i w:val="0"/>
          <w:sz w:val="20"/>
        </w:rPr>
        <w:t xml:space="preserve"> calls abstain, and in a census fixing the stack and varying only the contract, item-level pairing removes the answered zero in </w:t>
      </w:r>
      <w:r>
        <w:rPr>
          <w:rFonts w:ascii="Times New Roman" w:hAnsi="Times New Roman"/>
          <w:b/>
          <w:i w:val="0"/>
          <w:sz w:val="20"/>
        </w:rPr>
        <w:t>46 of 52</w:t>
      </w:r>
      <w:r>
        <w:rPr>
          <w:rFonts w:ascii="Times New Roman" w:hAnsi="Times New Roman"/>
          <w:b w:val="0"/>
          <w:i w:val="0"/>
          <w:sz w:val="20"/>
        </w:rPr>
        <w:t xml:space="preserve"> (model × domain) cells (</w:t>
      </w:r>
      <w:r>
        <w:rPr>
          <w:rFonts w:ascii="Times New Roman" w:hAnsi="Times New Roman"/>
          <w:b/>
          <w:i w:val="0"/>
          <w:sz w:val="20"/>
        </w:rPr>
        <w:t>52 of 52</w:t>
      </w:r>
      <w:r>
        <w:rPr>
          <w:rFonts w:ascii="Times New Roman" w:hAnsi="Times New Roman"/>
          <w:b w:val="0"/>
          <w:i w:val="0"/>
          <w:sz w:val="20"/>
        </w:rPr>
        <w:t xml:space="preserve"> under the three-option contract; M.18.2–M.18.3), while the same grid on </w:t>
      </w:r>
      <w:r>
        <w:rPr>
          <w:rFonts w:ascii="Times New Roman" w:hAnsi="Times New Roman"/>
          <w:b/>
          <w:i w:val="0"/>
          <w:sz w:val="20"/>
        </w:rPr>
        <w:t>seven families — four of them beyond the corpus's own, all unquantised — removes it in 7 of 7</w:t>
      </w:r>
      <w:r>
        <w:rPr>
          <w:rFonts w:ascii="Times New Roman" w:hAnsi="Times New Roman"/>
          <w:b w:val="0"/>
          <w:i w:val="0"/>
          <w:sz w:val="20"/>
        </w:rPr>
        <w:t xml:space="preserve"> (§5.7, M.19), one of the seven having offered only </w:t>
      </w:r>
      <w:r>
        <w:rPr>
          <w:rFonts w:ascii="Times New Roman" w:hAnsi="Times New Roman"/>
          <w:b/>
          <w:i w:val="0"/>
          <w:sz w:val="20"/>
        </w:rPr>
        <w:t>9 zeros</w:t>
      </w:r>
      <w:r>
        <w:rPr>
          <w:rFonts w:ascii="Times New Roman" w:hAnsi="Times New Roman"/>
          <w:b w:val="0"/>
          <w:i w:val="0"/>
          <w:sz w:val="20"/>
        </w:rPr>
        <w:t xml:space="preserve"> to remove. The </w:t>
      </w:r>
      <w:r>
        <w:rPr>
          <w:rFonts w:ascii="Times New Roman" w:hAnsi="Times New Roman"/>
          <w:b/>
          <w:i w:val="0"/>
          <w:sz w:val="20"/>
        </w:rPr>
        <w:t>frequency</w:t>
      </w:r>
      <w:r>
        <w:rPr>
          <w:rFonts w:ascii="Times New Roman" w:hAnsi="Times New Roman"/>
          <w:b w:val="0"/>
          <w:i w:val="0"/>
          <w:sz w:val="20"/>
        </w:rPr>
        <w:t xml:space="preserve"> claim stays bounded: the corpus is dominated by one lineage (§8.2), the dense-scene headline is </w:t>
      </w:r>
      <w:r>
        <w:rPr>
          <w:rFonts w:ascii="Times New Roman" w:hAnsi="Times New Roman"/>
          <w:b/>
          <w:i w:val="0"/>
          <w:sz w:val="20"/>
        </w:rPr>
        <w:t>build-specific</w:t>
      </w:r>
      <w:r>
        <w:rPr>
          <w:rFonts w:ascii="Times New Roman" w:hAnsi="Times New Roman"/>
          <w:b w:val="0"/>
          <w:i w:val="0"/>
          <w:sz w:val="20"/>
        </w:rPr>
        <w:t xml:space="preserve"> (five deployments of one 32B checkpoint differ by up to </w:t>
      </w:r>
      <w:r>
        <w:rPr>
          <w:rFonts w:ascii="Times New Roman" w:hAnsi="Times New Roman"/>
          <w:b/>
          <w:i w:val="0"/>
          <w:sz w:val="20"/>
        </w:rPr>
        <w:t>90.3 pp</w:t>
      </w:r>
      <w:r>
        <w:rPr>
          <w:rFonts w:ascii="Times New Roman" w:hAnsi="Times New Roman"/>
          <w:b w:val="0"/>
          <w:i w:val="0"/>
          <w:sz w:val="20"/>
        </w:rPr>
        <w:t xml:space="preserve">, and on the cross-family grid the share exceeds 50% on </w:t>
      </w:r>
      <w:r>
        <w:rPr>
          <w:rFonts w:ascii="Times New Roman" w:hAnsi="Times New Roman"/>
          <w:b/>
          <w:i w:val="0"/>
          <w:sz w:val="20"/>
        </w:rPr>
        <w:t>one</w:t>
      </w:r>
      <w:r>
        <w:rPr>
          <w:rFonts w:ascii="Times New Roman" w:hAnsi="Times New Roman"/>
          <w:b w:val="0"/>
          <w:i w:val="0"/>
          <w:sz w:val="20"/>
        </w:rPr>
        <w:t xml:space="preserve"> build — the one that defined the pool; M.19.15) and the aerial-scene one </w:t>
      </w:r>
      <w:r>
        <w:rPr>
          <w:rFonts w:ascii="Times New Roman" w:hAnsi="Times New Roman"/>
          <w:b/>
          <w:i w:val="0"/>
          <w:sz w:val="20"/>
        </w:rPr>
        <w:t>domain-specific</w:t>
      </w:r>
      <w:r>
        <w:rPr>
          <w:rFonts w:ascii="Times New Roman" w:hAnsi="Times New Roman"/>
          <w:b w:val="0"/>
          <w:i w:val="0"/>
          <w:sz w:val="20"/>
        </w:rPr>
        <w:t xml:space="preserve"> (</w:t>
      </w:r>
      <w:r>
        <w:rPr>
          <w:rFonts w:ascii="Times New Roman" w:hAnsi="Times New Roman"/>
          <w:b/>
          <w:i w:val="0"/>
          <w:sz w:val="20"/>
        </w:rPr>
        <w:t>2.7–8.7 pp</w:t>
      </w:r>
      <w:r>
        <w:rPr>
          <w:rFonts w:ascii="Times New Roman" w:hAnsi="Times New Roman"/>
          <w:b w:val="0"/>
          <w:i w:val="0"/>
          <w:sz w:val="20"/>
        </w:rPr>
        <w:t xml:space="preserve"> across the same five; M.18.4, M.18.8). §5.12 then shows what a single convention costs: the two conventions reorder the configurations (Spearman </w:t>
      </w:r>
      <w:r>
        <w:rPr>
          <w:rFonts w:ascii="Times New Roman" w:hAnsi="Times New Roman"/>
          <w:b/>
          <w:i w:val="0"/>
          <w:sz w:val="20"/>
        </w:rPr>
        <w:t>0.476–1.000</w:t>
      </w:r>
      <w:r>
        <w:rPr>
          <w:rFonts w:ascii="Times New Roman" w:hAnsi="Times New Roman"/>
          <w:b w:val="0"/>
          <w:i w:val="0"/>
          <w:sz w:val="20"/>
        </w:rPr>
        <w:t xml:space="preserve">) and move one configuration's bias by up to </w:t>
      </w:r>
      <w:r>
        <w:rPr>
          <w:rFonts w:ascii="Times New Roman" w:hAnsi="Times New Roman"/>
          <w:b/>
          <w:i w:val="0"/>
          <w:sz w:val="20"/>
        </w:rPr>
        <w:t>48.2 pp</w:t>
      </w:r>
      <w:r>
        <w:rPr>
          <w:rFonts w:ascii="Times New Roman" w:hAnsi="Times New Roman"/>
          <w:b w:val="0"/>
          <w:i w:val="0"/>
          <w:sz w:val="20"/>
        </w:rPr>
        <w:t>.</w:t>
      </w:r>
    </w:p>
    <w:p>
      <w:r>
        <w:rPr>
          <w:rFonts w:ascii="Times New Roman" w:hAnsi="Times New Roman"/>
          <w:b w:val="0"/>
          <w:i w:val="0"/>
          <w:sz w:val="20"/>
        </w:rPr>
        <w:t>2. **Finding 2 — per-instance legibility gates whether a model answers, and it is a diagnostic rather than a</w:t>
      </w:r>
    </w:p>
    <w:p>
      <w:r>
        <w:rPr>
          <w:rFonts w:ascii="Times New Roman" w:hAnsi="Times New Roman"/>
          <w:b w:val="0"/>
          <w:i w:val="0"/>
          <w:sz w:val="20"/>
        </w:rPr>
        <w:t>repair.</w:t>
      </w:r>
      <w:r>
        <w:rPr>
          <w:rFonts w:ascii="Times New Roman" w:hAnsi="Times New Roman"/>
          <w:b/>
          <w:i w:val="0"/>
          <w:sz w:val="20"/>
        </w:rPr>
        <w:t xml:space="preserve"> We give the proxy, the effect structure under three controlled manipulations, and what it </w:t>
      </w:r>
      <w:r>
        <w:rPr>
          <w:rFonts w:ascii="Times New Roman" w:hAnsi="Times New Roman"/>
          <w:b w:val="0"/>
          <w:i w:val="0"/>
          <w:sz w:val="20"/>
        </w:rPr>
        <w:t>cannot</w:t>
      </w:r>
      <w:r>
        <w:rPr>
          <w:rFonts w:ascii="Times New Roman" w:hAnsi="Times New Roman"/>
          <w:b/>
          <w:i w:val="0"/>
          <w:sz w:val="20"/>
        </w:rPr>
        <w:t xml:space="preserve"> do: it supports selective prediction (the most legible 20% of images reduce MAE by </w:t>
      </w:r>
      <w:r>
        <w:rPr>
          <w:rFonts w:ascii="Times New Roman" w:hAnsi="Times New Roman"/>
          <w:b w:val="0"/>
          <w:i w:val="0"/>
          <w:sz w:val="20"/>
        </w:rPr>
        <w:t>31–66%</w:t>
      </w:r>
      <w:r>
        <w:rPr>
          <w:rFonts w:ascii="Times New Roman" w:hAnsi="Times New Roman"/>
          <w:b/>
          <w:i w:val="0"/>
          <w:sz w:val="20"/>
        </w:rPr>
        <w:t xml:space="preserve">, selector AUC </w:t>
      </w:r>
      <w:r>
        <w:rPr>
          <w:rFonts w:ascii="Times New Roman" w:hAnsi="Times New Roman"/>
          <w:b w:val="0"/>
          <w:i w:val="0"/>
          <w:sz w:val="20"/>
        </w:rPr>
        <w:t>0.753–0.786</w:t>
      </w:r>
      <w:r>
        <w:rPr>
          <w:rFonts w:ascii="Times New Roman" w:hAnsi="Times New Roman"/>
          <w:b/>
          <w:i w:val="0"/>
          <w:sz w:val="20"/>
        </w:rPr>
        <w:t xml:space="preserve">) but </w:t>
      </w:r>
      <w:r>
        <w:rPr>
          <w:rFonts w:ascii="Times New Roman" w:hAnsi="Times New Roman"/>
          <w:b w:val="0"/>
          <w:i w:val="0"/>
          <w:sz w:val="20"/>
        </w:rPr>
        <w:t>cannot repair direction</w:t>
      </w:r>
      <w:r>
        <w:rPr>
          <w:rFonts w:ascii="Times New Roman" w:hAnsi="Times New Roman"/>
          <w:b/>
          <w:i w:val="0"/>
          <w:sz w:val="20"/>
        </w:rPr>
        <w:t xml:space="preserve"> (ρ attenuating only from </w:t>
      </w:r>
      <w:r>
        <w:rPr>
          <w:rFonts w:ascii="Times New Roman" w:hAnsi="Times New Roman"/>
          <w:b w:val="0"/>
          <w:i w:val="0"/>
          <w:sz w:val="20"/>
        </w:rPr>
        <w:t>−85.0%</w:t>
      </w:r>
      <w:r>
        <w:rPr>
          <w:rFonts w:ascii="Times New Roman" w:hAnsi="Times New Roman"/>
          <w:b/>
          <w:i w:val="0"/>
          <w:sz w:val="20"/>
        </w:rPr>
        <w:t xml:space="preserve"> to </w:t>
      </w:r>
      <w:r>
        <w:rPr>
          <w:rFonts w:ascii="Times New Roman" w:hAnsi="Times New Roman"/>
          <w:b w:val="0"/>
          <w:i w:val="0"/>
          <w:sz w:val="20"/>
        </w:rPr>
        <w:t>−53.4%</w:t>
      </w:r>
      <w:r>
        <w:rPr>
          <w:rFonts w:ascii="Times New Roman" w:hAnsi="Times New Roman"/>
          <w:b/>
          <w:i w:val="0"/>
          <w:sz w:val="20"/>
        </w:rPr>
        <w:t xml:space="preserve">), and because it requires instance-level boxes it is a </w:t>
      </w:r>
      <w:r>
        <w:rPr>
          <w:rFonts w:ascii="Times New Roman" w:hAnsi="Times New Roman"/>
          <w:b w:val="0"/>
          <w:i w:val="0"/>
          <w:sz w:val="20"/>
        </w:rPr>
        <w:t>diagnostic, not a deployment-time criterion**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w:t>
      </w:r>
    </w:p>
    <w:p>
      <w:r>
        <w:rPr>
          <w:rFonts w:ascii="Times New Roman" w:hAnsi="Times New Roman"/>
          <w:b w:val="0"/>
          <w:i w:val="0"/>
          <w:sz w:val="20"/>
        </w:rPr>
        <w:t>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rather than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magnitudes are not, and a magnitude is quoted with the grid density and the calibration caliber that produced it (Propositions 3, 5; §7.3). The spectrum is reported as an </w:t>
      </w:r>
      <w:r>
        <w:rPr>
          <w:rFonts w:ascii="Times New Roman" w:hAnsi="Times New Roman"/>
          <w:b/>
          <w:i w:val="0"/>
          <w:sz w:val="20"/>
        </w:rPr>
        <w:t>ordering, not as a finding</w:t>
      </w:r>
      <w:r>
        <w:rPr>
          <w:rFonts w:ascii="Times New Roman" w:hAnsi="Times New Roman"/>
          <w:b w:val="0"/>
          <w:i w:val="0"/>
          <w:sz w:val="20"/>
        </w:rPr>
        <w:t>.</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[5]</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families of implementations</w:t>
      </w:r>
      <w:r>
        <w:rPr>
          <w:rFonts w:ascii="Times New Roman" w:hAnsi="Times New Roman"/>
          <w:b w:val="0"/>
          <w:i w:val="0"/>
          <w:sz w:val="20"/>
        </w:rPr>
        <w:t>. What each does not cover is in §8.</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 xml:space="preserve">Two families dominate counting: detection-based methods localise instances and count them, while density regression predicts a density map whose integral is the count — the definitional formulation of the field [6]. Comparative work treats them as paradigms with characteristic trade-offs, and magnitude error is the axis on which they are compared; one controlled benchmark organises its probes by complexity [7]. §7.3 adds </w:t>
      </w:r>
      <w:r>
        <w:rPr>
          <w:rFonts w:ascii="Times New Roman" w:hAnsi="Times New Roman"/>
          <w:b/>
          <w:i w:val="0"/>
          <w:sz w:val="20"/>
        </w:rPr>
        <w:t>signed direction</w:t>
      </w:r>
      <w:r>
        <w:rPr>
          <w:rFonts w:ascii="Times New Roman" w:hAnsi="Times New Roman"/>
          <w:b w:val="0"/>
          <w:i w:val="0"/>
          <w:sz w:val="20"/>
        </w:rPr>
        <w:t xml:space="preserve"> to that comparison: a method that systematically over-counts and one that systematically under-counts can otherwise be reported as equivalent, and the paradigm label predicts span far more weakly than the implementation does.</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with NMS IoU as a second such knob, and with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 factor of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([8] and successors). A parallel and largely separate literature studies abstention: selective prediction [9], [10], [11], rejection options, abstention benchmarks for multimodal reasoning ([12], [13]), and abstention knobs in video question answering ([14]); and VLM refusal moves with an image's mere presence in ways instructions do not control [15] — acting on the tendency, not on the channel §5.7 manipulates. </w:t>
      </w:r>
      <w:r>
        <w:rPr>
          <w:rFonts w:ascii="Times New Roman" w:hAnsi="Times New Roman"/>
          <w:b/>
          <w:i w:val="0"/>
          <w:sz w:val="20"/>
        </w:rPr>
        <w:t>The gap is that abstention rates have never been measured on counting tasks</w:t>
      </w:r>
      <w:r>
        <w:rPr>
          <w:rFonts w:ascii="Times New Roman" w:hAnsi="Times New Roman"/>
          <w:b w:val="0"/>
          <w:i w:val="0"/>
          <w:sz w:val="20"/>
        </w:rPr>
        <w:t xml:space="preserve">, and that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rather than claim</w:t>
      </w:r>
      <w:r>
        <w:rPr>
          <w:rFonts w:ascii="Times New Roman" w:hAnsi="Times New Roman"/>
          <w:b w:val="0"/>
          <w:i w:val="0"/>
          <w:sz w:val="20"/>
        </w:rPr>
        <w:t xml:space="preserve"> the legibility gating — abstention is gated by per-instance legibility, not by object count, and is demonstrable in the aerial domains where the dense domains saturate under an explicit abstention contract (Appendix M.18)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[16] and NumerosityVLM [17]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1.</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val="0"/>
                <w:i w:val="0"/>
                <w:sz w:val="20"/>
              </w:rPr>
              <w:t>Synthetic, orthogonally manipulated</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[18], FSC-147 [5], CountBench [19], TallyQA [20]) [21]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([22]; [23]); §3.2 turns this into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([24]; a hierarchy in [25]) and establishes cross-paradigm counting comparison ([26]); </w:t>
      </w:r>
      <w:r>
        <w:rPr>
          <w:rFonts w:ascii="Times New Roman" w:hAnsi="Times New Roman"/>
          <w:b/>
          <w:i w:val="0"/>
          <w:sz w:val="20"/>
        </w:rPr>
        <w:t>we cite that locus rather than claim it</w:t>
      </w:r>
      <w:r>
        <w:rPr>
          <w:rFonts w:ascii="Times New Roman" w:hAnsi="Times New Roman"/>
          <w:b w:val="0"/>
          <w:i w:val="0"/>
          <w:sz w:val="20"/>
        </w:rPr>
        <w:t xml:space="preserve">. Those works localise the failing stage — one decomposing counting into visual individuation, magnitude awareness and symbolic mapping [27]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split into a </w:t>
      </w:r>
      <w:r>
        <w:rPr>
          <w:rFonts w:ascii="Times New Roman" w:hAnsi="Times New Roman"/>
          <w:b/>
          <w:i w:val="0"/>
          <w:sz w:val="20"/>
        </w:rPr>
        <w:t>suppressed abstention</w:t>
      </w:r>
      <w:r>
        <w:rPr>
          <w:rFonts w:ascii="Times New Roman" w:hAnsi="Times New Roman"/>
          <w:b w:val="0"/>
          <w:i w:val="0"/>
          <w:sz w:val="20"/>
        </w:rPr>
        <w:t xml:space="preserve"> recoverable by an output contract and a </w:t>
      </w:r>
      <w:r>
        <w:rPr>
          <w:rFonts w:ascii="Times New Roman" w:hAnsi="Times New Roman"/>
          <w:b/>
          <w:i w:val="0"/>
          <w:sz w:val="20"/>
        </w:rPr>
        <w:t>genuine estimate of zero</w:t>
      </w:r>
      <w:r>
        <w:rPr>
          <w:rFonts w:ascii="Times New Roman" w:hAnsi="Times New Roman"/>
          <w:b w:val="0"/>
          <w:i w:val="0"/>
          <w:sz w:val="20"/>
        </w:rPr>
        <w:t>, with the machinery that separates them on a fixed serving stack in §3.8 and §5.7. Three boundaries delimit the comparison: dependent variable (accuracy versus signed direction and abstention), data (everyday versus aerial, microscopy and dense-crowd scenes), and contrast design (in-domain versus zero-shot weights, input protocol controlled).</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initially came from single samples. Repeat sampling shows that item-level reproducibility for a hosted API is only about </w:t>
      </w:r>
      <w:r>
        <w:rPr>
          <w:rFonts w:ascii="Times New Roman" w:hAnsi="Times New Roman"/>
          <w:b/>
          <w:i w:val="0"/>
          <w:sz w:val="20"/>
        </w:rPr>
        <w:t>15%</w:t>
      </w:r>
      <w:r>
        <w:rPr>
          <w:rFonts w:ascii="Times New Roman" w:hAnsi="Times New Roman"/>
          <w:b w:val="0"/>
          <w:i w:val="0"/>
          <w:sz w:val="20"/>
        </w:rPr>
        <w:t>, while a locally controlled stack agrees at essentially 100%, and that aggregate quantities are far more stable.</w:t>
      </w:r>
    </w:p>
    <w:p>
      <w:r>
        <w:rPr>
          <w:rFonts w:ascii="Times New Roman" w:hAnsi="Times New Roman"/>
          <w:b w:val="0"/>
          <w:i w:val="0"/>
          <w:sz w:val="20"/>
        </w:rPr>
        <w:t>(Appendix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[28]).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simply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[29].</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they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abstention share of the total under-count. Density is summarised by OPM, whose applicability boundary is §7.1. The statistical protocol and the non-determinism declaration are in Appendix A.</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and recent work notes that granularity is usually left implicit ([22]; [23]).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w:t>
      </w:r>
      <w:r>
        <w:rPr>
          <w:rFonts w:ascii="Times New Roman" w:hAnsi="Times New Roman"/>
          <w:b/>
          <w:i w:val="0"/>
          <w:sz w:val="20"/>
        </w:rPr>
        <w:t>Any counting evaluation must therefore declare its target granularity explicitly</w:t>
      </w:r>
      <w:r>
        <w:rPr>
          <w:rFonts w:ascii="Times New Roman" w:hAnsi="Times New Roman"/>
          <w:b w:val="0"/>
          <w:i w:val="0"/>
          <w:sz w:val="20"/>
        </w:rPr>
        <w:t>; part of the spread across published counting numbers is a granularity artefact rather than a modelling difference.</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(blur 9.1% vs. downsampling 0.6%, </w:t>
      </w:r>
      <w:r>
        <w:rPr>
          <w:rFonts w:ascii="Times New Roman" w:hAnsi="Times New Roman"/>
          <w:b/>
          <w:i w:val="0"/>
          <w:sz w:val="20"/>
        </w:rPr>
        <w:t>+8.6 pp</w:t>
      </w:r>
      <w:r>
        <w:rPr>
          <w:rFonts w:ascii="Times New Roman" w:hAnsi="Times New Roman"/>
          <w:b w:val="0"/>
          <w:i w:val="0"/>
          <w:sz w:val="20"/>
        </w:rPr>
        <w:t xml:space="preserve">), while the </w:t>
      </w:r>
      <w:r>
        <w:rPr>
          <w:rFonts w:ascii="Times New Roman" w:hAnsi="Times New Roman"/>
          <w:b/>
          <w:i w:val="0"/>
          <w:sz w:val="20"/>
        </w:rPr>
        <w:t>per-instance pixel budget is a covariate rather than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in this paper, not its headline: it tells a downstream user </w:t>
      </w:r>
      <w:r>
        <w:rPr>
          <w:rFonts w:ascii="Times New Roman" w:hAnsi="Times New Roman"/>
          <w:b w:val="0"/>
          <w:i/>
          <w:sz w:val="20"/>
        </w:rPr>
        <w:t>which images to trust the number on</w:t>
      </w:r>
      <w:r>
        <w:rPr>
          <w:rFonts w:ascii="Times New Roman" w:hAnsi="Times New Roman"/>
          <w:b w:val="0"/>
          <w:i w:val="0"/>
          <w:sz w:val="20"/>
        </w:rPr>
        <w:t xml:space="preserve">,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Appendix M.20 records the measurement and why we report it as a boundary rather than a promise).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 §7.7 states what a deployable rule would have to satisfy; §5.12 shows that the paper's own conclusions do not depend on this variable.</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[5]; CountQA [30] and PushupBench [31]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[32] and AI-TOD [33]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targets per image), 68% vs. 57%.</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[34] (tiling follows SAHI [35]) with nine variants plus budget × source-domain combinations, zero-shot COCO [36] person detectors under a tiling protocol for the dense end, and two label conventions; Faster R-CNN [37] and RetinaNet [38] supply a second and third family (fairness parameters in Appendix D.2; Appendix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[39] on a self-hosted 4-bit AWQ [40] </w:t>
      </w:r>
      <w:r>
        <w:rPr>
          <w:rFonts w:ascii="Times New Roman" w:hAnsi="Times New Roman"/>
          <w:b/>
          <w:i w:val="0"/>
          <w:sz w:val="20"/>
        </w:rPr>
        <w:t>community requantisation</w:t>
      </w:r>
      <w:r>
        <w:rPr>
          <w:rFonts w:ascii="Times New Roman" w:hAnsi="Times New Roman"/>
          <w:b w:val="0"/>
          <w:i w:val="0"/>
          <w:sz w:val="20"/>
        </w:rPr>
        <w:t xml:space="preserve"> (</w:t>
      </w:r>
      <w:r>
        <w:rPr>
          <w:rFonts w:ascii="Times New Roman" w:hAnsi="Times New Roman"/>
          <w:b w:val="0"/>
          <w:i/>
          <w:sz w:val="20"/>
        </w:rPr>
        <w:t>cyankiwi/Qwen3-VL-32B-Instruct-AWQ-4bit</w:t>
      </w:r>
      <w:r>
        <w:rPr>
          <w:rFonts w:ascii="Times New Roman" w:hAnsi="Times New Roman"/>
          <w:b w:val="0"/>
          <w:i w:val="0"/>
          <w:sz w:val="20"/>
        </w:rPr>
        <w:t xml:space="preserve">; Appendix M.46) and GPTQ-W4 [41] stacks cross-checked against a BF16 hosted API, with an 8B scale control, a Qwen2.5-VL-7B [42] generation control and InternVL2.5-8B [4]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[43], CSRNet [44] and DM-Count [45] trained on SFCHD [18],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 xml:space="preserve">Abstention is our leading indicator, so its operationalisation is stated item by item rather than left as "the predicted total is zero". </w:t>
      </w:r>
      <w:r>
        <w:rPr>
          <w:rFonts w:ascii="Times New Roman" w:hAnsi="Times New Roman"/>
          <w:b/>
          <w:i w:val="0"/>
          <w:sz w:val="20"/>
        </w:rPr>
        <w:t>Appendix B</w:t>
      </w:r>
      <w:r>
        <w:rPr>
          <w:rFonts w:ascii="Times New Roman" w:hAnsi="Times New Roman"/>
          <w:b w:val="0"/>
          <w:i w:val="0"/>
          <w:sz w:val="20"/>
        </w:rPr>
        <w:t xml:space="preserve"> carries the full protocol;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w:t>
      </w:r>
    </w:p>
    <w:p>
      <w:r>
        <w:rPr>
          <w:rFonts w:ascii="Times New Roman" w:hAnsi="Times New Roman"/>
          <w:b/>
          <w:i w:val="0"/>
          <w:sz w:val="20"/>
        </w:rPr>
        <w:t>(c) Is `pred = 0` a sufficient operationalisation? A lineage-stratified answer.</w:t>
      </w:r>
      <w:r>
        <w:rPr>
          <w:rFonts w:ascii="Times New Roman" w:hAnsi="Times New Roman"/>
          <w:b w:val="0"/>
          <w:i w:val="0"/>
          <w:sz w:val="20"/>
        </w:rPr>
        <w:t xml:space="preserve"> We give an empirical criterion rather than a stipulation: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xml:space="preserve"> — the two statements point the same way. Over the whole corpus (892 result files, ~620k records):</w:t>
      </w:r>
    </w:p>
    <w:p>
      <w:r>
        <w:rPr>
          <w:rFonts w:ascii="Times New Roman" w:hAnsi="Times New Roman"/>
          <w:b/>
          <w:i w:val="0"/>
          <w:sz w:val="20"/>
        </w:rPr>
        <w:t>Table 2.</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[39]</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of abstention rate must therefore define the channel per lineage.</w:t>
      </w:r>
      <w:r>
        <w:rPr>
          <w:rFonts w:ascii="Times New Roman" w:hAnsi="Times New Roman"/>
          <w:b w:val="0"/>
          <w:i w:val="0"/>
          <w:sz w:val="20"/>
        </w:rPr>
        <w:t xml:space="preserve"> The incompleteness is </w:t>
      </w:r>
      <w:r>
        <w:rPr>
          <w:rFonts w:ascii="Times New Roman" w:hAnsi="Times New Roman"/>
          <w:b/>
          <w:i w:val="0"/>
          <w:sz w:val="20"/>
        </w:rPr>
        <w:t>bounded rather than merely disclosed</w:t>
      </w:r>
      <w:r>
        <w:rPr>
          <w:rFonts w:ascii="Times New Roman" w:hAnsi="Times New Roman"/>
          <w:b w:val="0"/>
          <w:i w:val="0"/>
          <w:sz w:val="20"/>
        </w:rPr>
        <w:t xml:space="preserve">: by Proposition 7, a lineage with ratio κ identifies the abstention rate only to within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abstention rate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w:t>
      </w:r>
      <w:r>
        <w:rPr>
          <w:rFonts w:ascii="Times New Roman" w:hAnsi="Times New Roman"/>
          <w:b w:val="0"/>
          <w:i w:val="0"/>
          <w:sz w:val="20"/>
        </w:rPr>
        <w:t xml:space="preserve">, and specifically whether it offers an </w:t>
      </w:r>
      <w:r>
        <w:rPr>
          <w:rFonts w:ascii="Times New Roman" w:hAnsi="Times New Roman"/>
          <w:b/>
          <w:i w:val="0"/>
          <w:sz w:val="20"/>
        </w:rPr>
        <w:t>abstention token</w:t>
      </w:r>
      <w:r>
        <w:rPr>
          <w:rFonts w:ascii="Times New Roman" w:hAnsi="Times New Roman"/>
          <w:b w:val="0"/>
          <w:i w:val="0"/>
          <w:sz w:val="20"/>
        </w:rPr>
        <w:t xml:space="preserve"> — not how much per-instance work the prompt demands. Prompts that </w:t>
      </w:r>
      <w:r>
        <w:rPr>
          <w:rFonts w:ascii="Times New Roman" w:hAnsi="Times New Roman"/>
          <w:b w:val="0"/>
          <w:i/>
          <w:sz w:val="20"/>
        </w:rPr>
        <w:t>require</w:t>
      </w:r>
      <w:r>
        <w:rPr>
          <w:rFonts w:ascii="Times New Roman" w:hAnsi="Times New Roman"/>
          <w:b w:val="0"/>
          <w:i w:val="0"/>
          <w:sz w:val="20"/>
        </w:rPr>
        <w:t xml:space="preserve"> per-instance enumeration ("count every person one by one") or localisation ("locate every person")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went on answering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("give your best estimate even if you cannot count precisely")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w:t>
      </w:r>
      <w:r>
        <w:rPr>
          <w:rFonts w:ascii="Times New Roman" w:hAnsi="Times New Roman"/>
          <w:b/>
          <w:i w:val="0"/>
          <w:sz w:val="20"/>
        </w:rPr>
        <w:t>The operative gate is therefore the availability of an abstention token, not the enumeration demand</w:t>
      </w:r>
      <w:r>
        <w:rPr>
          <w:rFonts w:ascii="Times New Roman" w:hAnsi="Times New Roman"/>
          <w:b w:val="0"/>
          <w:i w:val="0"/>
          <w:sz w:val="20"/>
        </w:rPr>
        <w:t xml:space="preserve">. The legibility attribution consequently rests on the direct manipulations of §5.6–5.7, with one boundary that the same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where it is exercised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rather than refinements; the rules and the corpus-wide scan behind them are in </w:t>
      </w:r>
      <w:r>
        <w:rPr>
          <w:rFonts w:ascii="Times New Roman" w:hAnsi="Times New Roman"/>
          <w:b/>
          <w:i w:val="0"/>
          <w:sz w:val="20"/>
        </w:rPr>
        <w:t>Appendix I</w:t>
      </w:r>
      <w:r>
        <w:rPr>
          <w:rFonts w:ascii="Times New Roman" w:hAnsi="Times New Roman"/>
          <w:b w:val="0"/>
          <w:i w:val="0"/>
          <w:sz w:val="20"/>
        </w:rPr>
        <w:t xml:space="preserve">; the figure and table plan of §3.9 is </w:t>
      </w:r>
      <w:r>
        <w:rPr>
          <w:rFonts w:ascii="Times New Roman" w:hAnsi="Times New Roman"/>
          <w:b/>
          <w:i w:val="0"/>
          <w:sz w:val="20"/>
        </w:rPr>
        <w:t>Appendix D.4</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full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which is the arithmetic reason §3.6 reports the two lineages separately rather than pooled.</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and abstention is itself GT-dependent, so the covariance is non-zero in dense domains by construction. Both conventions are therefore always reported — and §5.12 measures what a single convention costs.</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That is why we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we have been able to construct.</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and the abstention share of the under-count has the closed form S=(1-w)/[1-w(1+ρ_answered)]. This is a reporting identity of the same form as the answer-propensity / conditional-composition decomposition we use elsewhere [46]; what is in question is where the movement goes on this corpus, and it is the one behind the </w:t>
      </w:r>
      <w:r>
        <w:rPr>
          <w:rFonts w:ascii="Times New Roman" w:hAnsi="Times New Roman"/>
          <w:b/>
          <w:i w:val="0"/>
          <w:sz w:val="20"/>
        </w:rPr>
        <w:t>82–94%</w:t>
      </w:r>
      <w:r>
        <w:rPr>
          <w:rFonts w:ascii="Times New Roman" w:hAnsi="Times New Roman"/>
          <w:b w:val="0"/>
          <w:i w:val="0"/>
          <w:sz w:val="20"/>
        </w:rPr>
        <w:t xml:space="preserve"> of §5.5 for the </w:t>
      </w:r>
      <w:r>
        <w:rPr>
          <w:rFonts w:ascii="Times New Roman" w:hAnsi="Times New Roman"/>
          <w:b/>
          <w:i w:val="0"/>
          <w:sz w:val="20"/>
        </w:rPr>
        <w:t>base contract arm</w:t>
      </w:r>
      <w:r>
        <w:rPr>
          <w:rFonts w:ascii="Times New Roman" w:hAnsi="Times New Roman"/>
          <w:b w:val="0"/>
          <w:i w:val="0"/>
          <w:sz w:val="20"/>
        </w:rPr>
        <w:t>.</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which is what licenses stratifying by legibility rather than by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w:t>
      </w:r>
      <w:r>
        <w:rPr>
          <w:rFonts w:ascii="Times New Roman" w:hAnsi="Times New Roman"/>
          <w:b w:val="0"/>
          <w:i w:val="0"/>
          <w:sz w:val="20"/>
        </w:rPr>
        <w:t xml:space="preserve">: under the </w:t>
      </w:r>
      <w:r>
        <w:rPr>
          <w:rFonts w:ascii="Times New Roman" w:hAnsi="Times New Roman"/>
          <w:b w:val="0"/>
          <w:i/>
          <w:sz w:val="20"/>
        </w:rPr>
        <w:t>base</w:t>
      </w:r>
      <w:r>
        <w:rPr>
          <w:rFonts w:ascii="Times New Roman" w:hAnsi="Times New Roman"/>
          <w:b w:val="0"/>
          <w:i w:val="0"/>
          <w:sz w:val="20"/>
        </w:rPr>
        <w:t xml:space="preserve"> contract three of four builds answer zero on </w:t>
      </w:r>
      <w:r>
        <w:rPr>
          <w:rFonts w:ascii="Times New Roman" w:hAnsi="Times New Roman"/>
          <w:b/>
          <w:i w:val="0"/>
          <w:sz w:val="20"/>
        </w:rPr>
        <w:t>98–100%</w:t>
      </w:r>
      <w:r>
        <w:rPr>
          <w:rFonts w:ascii="Times New Roman" w:hAnsi="Times New Roman"/>
          <w:b w:val="0"/>
          <w:i w:val="0"/>
          <w:sz w:val="20"/>
        </w:rPr>
        <w:t xml:space="preserve"> of the aerial pool S-1, and only one </w:t>
      </w:r>
      <w:r>
        <w:rPr>
          <w:rFonts w:ascii="Times New Roman" w:hAnsi="Times New Roman"/>
          <w:b/>
          <w:i w:val="0"/>
          <w:sz w:val="20"/>
        </w:rPr>
        <w:t>build</w:t>
      </w:r>
      <w:r>
        <w:rPr>
          <w:rFonts w:ascii="Times New Roman" w:hAnsi="Times New Roman"/>
          <w:b w:val="0"/>
          <w:i w:val="0"/>
          <w:sz w:val="20"/>
        </w:rPr>
        <w:t xml:space="preserve"> has headroom in both pools — </w:t>
      </w:r>
      <w:r>
        <w:rPr>
          <w:rFonts w:ascii="Times New Roman" w:hAnsi="Times New Roman"/>
          <w:b/>
          <w:i w:val="0"/>
          <w:sz w:val="20"/>
        </w:rPr>
        <w:t>whereas under `permit` the anchored build abstains on 148 of 150 S-1 items yet still answers zero on 146 of 150</w:t>
      </w:r>
      <w:r>
        <w:rPr>
          <w:rFonts w:ascii="Times New Roman" w:hAnsi="Times New Roman"/>
          <w:b w:val="0"/>
          <w:i w:val="0"/>
          <w:sz w:val="20"/>
        </w:rPr>
        <w:t xml:space="preserve"> of the second pool's items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 so a single-convention report is not merely incomplete but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appear where their claim is stated; the list is in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on VisDrone the in-domain detector's pooled ρ — </w:t>
      </w:r>
      <w:r>
        <w:rPr>
          <w:rFonts w:ascii="Times New Roman" w:hAnsi="Times New Roman"/>
          <w:b/>
          <w:i w:val="0"/>
          <w:sz w:val="20"/>
        </w:rPr>
        <w:t>person-matched</w:t>
      </w:r>
      <w:r>
        <w:rPr>
          <w:rFonts w:ascii="Times New Roman" w:hAnsi="Times New Roman"/>
          <w:b w:val="0"/>
          <w:i w:val="0"/>
          <w:sz w:val="20"/>
        </w:rPr>
        <w:t xml:space="preserve"> throughout this section —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 the three input sizes 640 / 1024 / 1536 px, i.e. the same ladder giving the in-domain weights </w:t>
      </w:r>
      <w:r>
        <w:rPr>
          <w:rFonts w:ascii="Times New Roman" w:hAnsi="Times New Roman"/>
          <w:b/>
          <w:i w:val="0"/>
          <w:sz w:val="20"/>
        </w:rPr>
        <w:t>95.9 / 159.3 / 195.7 pp</w:t>
      </w:r>
      <w:r>
        <w:rPr>
          <w:rFonts w:ascii="Times New Roman" w:hAnsi="Times New Roman"/>
          <w:b w:val="0"/>
          <w:i w:val="0"/>
          <w:sz w:val="20"/>
        </w:rPr>
        <w:t xml:space="preserve"> — and never crosses (all-detections, same eight-level grid: </w:t>
      </w:r>
      <w:r>
        <w:rPr>
          <w:rFonts w:ascii="Times New Roman" w:hAnsi="Times New Roman"/>
          <w:b/>
          <w:i w:val="0"/>
          <w:sz w:val="20"/>
        </w:rPr>
        <w:t>63.1–156.0 pp</w:t>
      </w:r>
      <w:r>
        <w:rPr>
          <w:rFonts w:ascii="Times New Roman" w:hAnsi="Times New Roman"/>
          <w:b w:val="0"/>
          <w:i w:val="0"/>
          <w:sz w:val="20"/>
        </w:rPr>
        <w:t xml:space="preserve"> for the zero-shot ladder and </w:t>
      </w:r>
      <w:r>
        <w:rPr>
          <w:rFonts w:ascii="Times New Roman" w:hAnsi="Times New Roman"/>
          <w:b/>
          <w:i w:val="0"/>
          <w:sz w:val="20"/>
        </w:rPr>
        <w:t>352.8–508.3 pp</w:t>
      </w:r>
      <w:r>
        <w:rPr>
          <w:rFonts w:ascii="Times New Roman" w:hAnsi="Times New Roman"/>
          <w:b w:val="0"/>
          <w:i w:val="0"/>
          <w:sz w:val="20"/>
        </w:rPr>
        <w:t xml:space="preserve"> for the in-domain one; Appendix F.10). It is a usable availability test, </w:t>
      </w:r>
      <w:r>
        <w:rPr>
          <w:rFonts w:ascii="Times New Roman" w:hAnsi="Times New Roman"/>
          <w:b/>
          <w:i w:val="0"/>
          <w:sz w:val="20"/>
        </w:rPr>
        <w:t>not</w:t>
      </w:r>
      <w:r>
        <w:rPr>
          <w:rFonts w:ascii="Times New Roman" w:hAnsi="Times New Roman"/>
          <w:b w:val="0"/>
          <w:i w:val="0"/>
          <w:sz w:val="20"/>
        </w:rPr>
        <w:t xml:space="preserve"> a predictor of how large the span will be (§7.3). (Appendix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of these results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rather than to the image</w:t>
      </w:r>
      <w:r>
        <w:rPr>
          <w:rFonts w:ascii="Times New Roman" w:hAnsi="Times New Roman"/>
          <w:b w:val="0"/>
          <w:i w:val="0"/>
          <w:sz w:val="20"/>
        </w:rPr>
        <w:t>: the last reachable bin is reached by tiling, and what fails beyond it is the per-tile instance budget. This converts an unexplained ceiling into a design rule.</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The curve separating reachable from unreachable levels is </w:t>
      </w:r>
      <w:r>
        <w:rPr>
          <w:rFonts w:ascii="Times New Roman" w:hAnsi="Times New Roman"/>
          <w:b/>
          <w:i w:val="0"/>
          <w:sz w:val="20"/>
        </w:rPr>
        <w:t>the threshold-cleaning curve of Fig. 3</w:t>
      </w:r>
      <w:r>
        <w:rPr>
          <w:rFonts w:ascii="Times New Roman" w:hAnsi="Times New Roman"/>
          <w:b w:val="0"/>
          <w:i w:val="0"/>
          <w:sz w:val="20"/>
        </w:rPr>
        <w:t>;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87520"/>
            <wp:docPr id="3" name="Picture 3"/>
            <wp:cNvGraphicFramePr>
              <a:graphicFrameLocks noChangeAspect="1"/>
            </wp:cNvGraphicFramePr>
            <a:graphic>
              <a:graphicData uri="http://schemas.openxmlformats.org/drawingml/2006/picture">
                <pic:pic>
                  <pic:nvPicPr>
                    <pic:cNvPr id="0" name="F12_prompt_dose.png"/>
                    <pic:cNvPicPr/>
                  </pic:nvPicPr>
                  <pic:blipFill>
                    <a:blip r:embed="rId12"/>
                    <a:stretch>
                      <a:fillRect/>
                    </a:stretch>
                  </pic:blipFill>
                  <pic:spPr>
                    <a:xfrm>
                      <a:off x="0" y="0"/>
                      <a:ext cx="2736000" cy="1787520"/>
                    </a:xfrm>
                    <a:prstGeom prst="rect"/>
                  </pic:spPr>
                </pic:pic>
              </a:graphicData>
            </a:graphic>
          </wp:inline>
        </w:drawing>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so configuration attribution does not rest on file naming. Tiling moves UCF from unreachable to reachable (τ^\</w:t>
      </w:r>
      <w:r>
        <w:rPr>
          <w:rFonts w:ascii="Times New Roman" w:hAnsi="Times New Roman"/>
          <w:b w:val="0"/>
          <w:i w:val="0"/>
          <w:sz w:val="20"/>
        </w:rPr>
        <w:t xml:space="preserve"> 0.121–0.152): protocol and threshold jointly determine reachability. (Appendix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(Appendix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(Appendix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xml:space="preserve">; and </w:t>
      </w:r>
      <w:r>
        <w:rPr>
          <w:rFonts w:ascii="Times New Roman" w:hAnsi="Times New Roman"/>
          <w:b/>
          <w:i w:val="0"/>
          <w:sz w:val="20"/>
        </w:rPr>
        <w:t>the two families unseal at different granularities</w:t>
      </w:r>
      <w:r>
        <w:rPr>
          <w:rFonts w:ascii="Times New Roman" w:hAnsi="Times New Roman"/>
          <w:b w:val="0"/>
          <w:i w:val="0"/>
          <w:sz w:val="20"/>
        </w:rPr>
        <w:t>, the pre-FPN architecture needing finer tiling for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[47] (0.124 → 0.225 → 0.306) and ShanghaiTech-A (unreachable → 0.124 → 0.237) — and </w:t>
      </w:r>
      <w:r>
        <w:rPr>
          <w:rFonts w:ascii="Times New Roman" w:hAnsi="Times New Roman"/>
          <w:b w:val="0"/>
          <w:i/>
          <w:sz w:val="20"/>
        </w:rPr>
        <w:t>fails</w:t>
      </w:r>
      <w:r>
        <w:rPr>
          <w:rFonts w:ascii="Times New Roman" w:hAnsi="Times New Roman"/>
          <w:b w:val="0"/>
          <w:i w:val="0"/>
          <w:sz w:val="20"/>
        </w:rPr>
        <w:t>* for YOLO (UCF 0.121 → 0.176 → 0.173; ShanghaiTech-A unreachable → 0.260 → 0.183).</w:t>
      </w:r>
    </w:p>
    <w:p>
      <w:r>
        <w:rPr>
          <w:rFonts w:ascii="Times New Roman" w:hAnsi="Times New Roman"/>
          <w:b w:val="0"/>
          <w:i w:val="0"/>
          <w:sz w:val="20"/>
        </w:rPr>
        <w:t>(Appendix E)</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 The dense and aerial domains, where the effects of interest live, are the subject of the remaining subsections.</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 The consequence is the one stated in §3.2: numbers are not comparable across studies unless the target granularity is declared.</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with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that proves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(Appendix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abstention share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build, and the ground-truth-weighted convention</w:t>
      </w:r>
      <w:r>
        <w:rPr>
          <w:rFonts w:ascii="Times New Roman" w:hAnsi="Times New Roman"/>
          <w:b w:val="0"/>
          <w:i w:val="0"/>
          <w:sz w:val="20"/>
        </w:rPr>
        <w:t xml:space="preserve"> (three of twenty (language × build) cells leave the unit interval; M.18.9, M.39, M.46(c)). </w:t>
      </w:r>
      <w:r>
        <w:rPr>
          <w:rFonts w:ascii="Times New Roman" w:hAnsi="Times New Roman"/>
          <w:b/>
          <w:i w:val="0"/>
          <w:sz w:val="20"/>
        </w:rPr>
        <w:t>This is the quantitative core of the paper's central claim: the received description "VLMs underestimate dense scenes" is mostly a description of refusals.</w:t>
      </w:r>
      <w:r>
        <w:rPr>
          <w:rFonts w:ascii="Times New Roman" w:hAnsi="Times New Roman"/>
          <w:b w:val="0"/>
          <w:i w:val="0"/>
          <w:sz w:val="20"/>
        </w:rPr>
        <w:t xml:space="preserve"> (Appendix M.9)</w:t>
      </w:r>
    </w:p>
    <w:p>
      <w:r>
        <w:rPr>
          <w:rFonts w:ascii="Times New Roman" w:hAnsi="Times New Roman"/>
          <w:b/>
          <w:i w:val="0"/>
          <w:sz w:val="20"/>
        </w:rPr>
        <w:t>Table 3.</w:t>
      </w:r>
      <w:r>
        <w:rPr>
          <w:rFonts w:ascii="Times New Roman" w:hAnsi="Times New Roman"/>
          <w:b w:val="0"/>
          <w:i w:val="0"/>
          <w:sz w:val="20"/>
        </w:rPr>
        <w:t xml:space="preserve"> Proposition 4's terms on the four headline domains.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rate (unweighted)</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(Terms are pp of the pooled relative deviation and sum to it exactly; S is the ground-truth-weighted share and the last column the same abstention term under the item-count convention. Appendix J.1.)</w:t>
      </w:r>
    </w:p>
    <w:p>
      <w:pPr>
        <w:pStyle w:val="Heading3"/>
      </w:pPr>
      <w:r>
        <w:rPr>
          <w:rFonts w:ascii="Times New Roman" w:hAnsi="Times New Roman"/>
          <w:b/>
          <w:i w:val="0"/>
          <w:sz w:val="20"/>
        </w:rPr>
        <w:t>5.6 Causal attribution of abstention: not count, but legibility</w:t>
      </w:r>
    </w:p>
    <w:p>
      <w:r>
        <w:rPr>
          <w:rFonts w:ascii="Times New Roman" w:hAnsi="Times New Roman"/>
          <w:b w:val="0"/>
          <w:i w:val="0"/>
          <w:sz w:val="20"/>
        </w:rPr>
        <w:t xml:space="preserve">Three controlled manipulations refute the intuitive "too many objects" explanation: the gate is </w:t>
      </w:r>
      <w:r>
        <w:rPr>
          <w:rFonts w:ascii="Times New Roman" w:hAnsi="Times New Roman"/>
          <w:b/>
          <w:i w:val="0"/>
          <w:sz w:val="20"/>
        </w:rPr>
        <w:t>per-instance legibility</w:t>
      </w:r>
      <w:r>
        <w:rPr>
          <w:rFonts w:ascii="Times New Roman" w:hAnsi="Times New Roman"/>
          <w:b w:val="0"/>
          <w:i w:val="0"/>
          <w:sz w:val="20"/>
        </w:rPr>
        <w:t xml:space="preserve"> (§3.3), and count retains only a secondary within-domain role (M.11).</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(§8.1).</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42.5%</w:t>
      </w:r>
      <w:r>
        <w:rPr>
          <w:rFonts w:ascii="Times New Roman" w:hAnsi="Times New Roman"/>
          <w:b w:val="0"/>
          <w:i w:val="0"/>
          <w:sz w:val="20"/>
        </w:rPr>
        <w:t xml:space="preserve"> in relative deviation (not an abstention share; Appendix J.8) — a floor set by the reporting stage, not by perception. </w:t>
      </w:r>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explicitly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produced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xml:space="preserve"> (all 48 cells: Appendix M,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with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7 of 7</w:t>
      </w:r>
      <w:r>
        <w:rPr>
          <w:rFonts w:ascii="Times New Roman" w:hAnsi="Times New Roman"/>
          <w:b w:val="0"/>
          <w:i w:val="0"/>
          <w:sz w:val="20"/>
        </w:rPr>
        <w:t>:</w:t>
      </w:r>
    </w:p>
    <w:p>
      <w:r>
        <w:rPr>
          <w:rFonts w:ascii="Times New Roman" w:hAnsi="Times New Roman"/>
          <w:b/>
          <w:i w:val="0"/>
          <w:sz w:val="20"/>
        </w:rPr>
        <w:t>Table 4.</w:t>
      </w:r>
      <w:r>
        <w:rPr>
          <w:rFonts w:ascii="Times New Roman" w:hAnsi="Times New Roman"/>
          <w:b w:val="0"/>
          <w:i w:val="0"/>
          <w:sz w:val="20"/>
        </w:rPr>
        <w:t xml:space="preserve"> The cross-family contract gate.</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completely (Fig. 4).</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42.5%</w:t>
      </w:r>
      <w:r>
        <w:rPr>
          <w:rFonts w:ascii="Times New Roman" w:hAnsi="Times New Roman"/>
          <w:b w:val="0"/>
          <w:i w:val="0"/>
          <w:sz w:val="20"/>
        </w:rPr>
        <w:t xml:space="preserve">; in microscopy (BBBC005 [48])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710000"/>
            <wp:docPr id="4" name="Picture 4"/>
            <wp:cNvGraphicFramePr>
              <a:graphicFrameLocks noChangeAspect="1"/>
            </wp:cNvGraphicFramePr>
            <a:graphic>
              <a:graphicData uri="http://schemas.openxmlformats.org/drawingml/2006/picture">
                <pic:pic>
                  <pic:nvPicPr>
                    <pic:cNvPr id="0" name="F8_tau_cleaning.png"/>
                    <pic:cNvPicPr/>
                  </pic:nvPicPr>
                  <pic:blipFill>
                    <a:blip r:embed="rId13"/>
                    <a:stretch>
                      <a:fillRect/>
                    </a:stretch>
                  </pic:blipFill>
                  <pic:spPr>
                    <a:xfrm>
                      <a:off x="0" y="0"/>
                      <a:ext cx="2736000" cy="1710000"/>
                    </a:xfrm>
                    <a:prstGeom prst="rect"/>
                  </pic:spPr>
                </pic:pic>
              </a:graphicData>
            </a:graphic>
          </wp:inline>
        </w:drawing>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t>
      </w:r>
      <w:r>
        <w:rPr>
          <w:rFonts w:ascii="Times New Roman" w:hAnsi="Times New Roman"/>
          <w:b/>
          <w:i w:val="0"/>
          <w:sz w:val="20"/>
        </w:rPr>
        <w:t>Legibility decides *whether* to answer, not *which way* to be wrong.</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xml:space="preserve">, paired, n = 900). </w:t>
      </w:r>
      <w:r>
        <w:rPr>
          <w:rFonts w:ascii="Times New Roman" w:hAnsi="Times New Roman"/>
          <w:b/>
          <w:i w:val="0"/>
          <w:sz w:val="20"/>
        </w:rPr>
        <w:t>Not lineage-specific</w:t>
      </w:r>
      <w:r>
        <w:rPr>
          <w:rFonts w:ascii="Times New Roman" w:hAnsi="Times New Roman"/>
          <w:b w:val="0"/>
          <w:i w:val="0"/>
          <w:sz w:val="20"/>
        </w:rPr>
        <w:t>: on a controlled disc grid the same gate reproduces in three further lineages, where the permitted contract leaves no zeros (Appendix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 — relaxing the prompt</w:t>
      </w:r>
      <w:r>
        <w:rPr>
          <w:rFonts w:ascii="Times New Roman" w:hAnsi="Times New Roman"/>
          <w:b w:val="0"/>
          <w:i w:val="0"/>
          <w:sz w:val="20"/>
        </w:rPr>
        <w:t xml:space="preserve"> cannot obtain both. (Appendices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scale does not make answers more accurate: the 8B model's answered-only deviation is </w:t>
      </w:r>
      <w:r>
        <w:rPr>
          <w:rFonts w:ascii="Times New Roman" w:hAnsi="Times New Roman"/>
          <w:b/>
          <w:i w:val="0"/>
          <w:sz w:val="20"/>
        </w:rPr>
        <w:t>more negative</w:t>
      </w:r>
      <w:r>
        <w:rPr>
          <w:rFonts w:ascii="Times New Roman" w:hAnsi="Times New Roman"/>
          <w:b w:val="0"/>
          <w:i w:val="0"/>
          <w:sz w:val="20"/>
        </w:rPr>
        <w:t xml:space="preserve">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(Appendix M.8).</w:t>
      </w:r>
    </w:p>
    <w:p>
      <w:r>
        <w:rPr>
          <w:rFonts w:ascii="Times New Roman" w:hAnsi="Times New Roman"/>
          <w:b w:val="0"/>
          <w:i w:val="0"/>
          <w:sz w:val="20"/>
        </w:rPr>
        <w:t xml:space="preserve">Proposition 4 expresses this gap as -(1-w)(1+ρ_answered), so the four reported values are a </w:t>
      </w:r>
      <w:r>
        <w:rPr>
          <w:rFonts w:ascii="Times New Roman" w:hAnsi="Times New Roman"/>
          <w:b/>
          <w:i w:val="0"/>
          <w:sz w:val="20"/>
        </w:rPr>
        <w:t>consistency check on the numbers printed in this paper</w:t>
      </w:r>
      <w:r>
        <w:rPr>
          <w:rFonts w:ascii="Times New Roman" w:hAnsi="Times New Roman"/>
          <w:b w:val="0"/>
          <w:i w:val="0"/>
          <w:sz w:val="20"/>
        </w:rPr>
        <w:t xml:space="preserve"> rather than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so that no rank difference can come from different denominators (the quantities and the denominator are defined in Appendix M.21) — the convention changes how large a configuration's measured bias appears, and in the dense domains changes the order:</w:t>
      </w:r>
    </w:p>
    <w:p>
      <w:r>
        <w:rPr>
          <w:rFonts w:ascii="Times New Roman" w:hAnsi="Times New Roman"/>
          <w:b/>
          <w:i w:val="0"/>
          <w:sz w:val="20"/>
        </w:rPr>
        <w:t>Table 5.</w:t>
      </w:r>
      <w:r>
        <w:rPr>
          <w:rFonts w:ascii="Times New Roman" w:hAnsi="Times New Roman"/>
          <w:b w:val="0"/>
          <w:i w:val="0"/>
          <w:sz w:val="20"/>
        </w:rPr>
        <w:t xml:space="preserve"> What one convention costs.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a number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it does *not* cost: the decision.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(deployable iff ≥θ of images fall inside a ±tol band),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≈800 verdicts and a 3 × 3 grid of θ × tol: </w:t>
      </w:r>
      <w:r>
        <w:rPr>
          <w:rFonts w:ascii="Times New Roman" w:hAnsi="Times New Roman"/>
          <w:b/>
          <w:i w:val="0"/>
          <w:sz w:val="20"/>
        </w:rPr>
        <w:t>one verdict flips</w:t>
      </w:r>
      <w:r>
        <w:rPr>
          <w:rFonts w:ascii="Times New Roman" w:hAnsi="Times New Roman"/>
          <w:b w:val="0"/>
          <w:i w:val="0"/>
          <w:sz w:val="20"/>
        </w:rPr>
        <w:t xml:space="preserve">, and the selected sets are </w:t>
      </w:r>
      <w:r>
        <w:rPr>
          <w:rFonts w:ascii="Times New Roman" w:hAnsi="Times New Roman"/>
          <w:b/>
          <w:i w:val="0"/>
          <w:sz w:val="20"/>
        </w:rPr>
        <w:t>identical in all five datasets</w:t>
      </w:r>
      <w:r>
        <w:rPr>
          <w:rFonts w:ascii="Times New Roman" w:hAnsi="Times New Roman"/>
          <w:b w:val="0"/>
          <w:i w:val="0"/>
          <w:sz w:val="20"/>
        </w:rPr>
        <w:t xml:space="preserve">. The convention is therefore a </w:t>
      </w:r>
      <w:r>
        <w:rPr>
          <w:rFonts w:ascii="Times New Roman" w:hAnsi="Times New Roman"/>
          <w:b/>
          <w:i w:val="0"/>
          <w:sz w:val="20"/>
        </w:rPr>
        <w:t>comparability problem, not a decision problem</w:t>
      </w:r>
      <w:r>
        <w:rPr>
          <w:rFonts w:ascii="Times New Roman" w:hAnsi="Times New Roman"/>
          <w:b w:val="0"/>
          <w:i w:val="0"/>
          <w:sz w:val="20"/>
        </w:rPr>
        <w:t xml:space="preserve">: it cannot make a user deploy the wrong model, but it can make the numbers incomparable. The decision-relevant quantity is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[5]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w:t>
      </w:r>
    </w:p>
    <w:p>
      <w:r>
        <w:rPr>
          <w:rFonts w:ascii="Times New Roman" w:hAnsi="Times New Roman"/>
          <w:b/>
          <w:i w:val="0"/>
          <w:sz w:val="20"/>
        </w:rPr>
        <w:t>Table 6.</w:t>
      </w:r>
      <w:r>
        <w:rPr>
          <w:rFonts w:ascii="Times New Roman" w:hAnsi="Times New Roman"/>
          <w:b w:val="0"/>
          <w:i w:val="0"/>
          <w:sz w:val="20"/>
        </w:rPr>
        <w:t xml:space="preserve"> The contract gate on FSC-147.</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of which is a counterexample and is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above. </w:t>
      </w:r>
      <w:r>
        <w:rPr>
          <w:rFonts w:ascii="Times New Roman" w:hAnsi="Times New Roman"/>
          <w:b/>
          <w:i w:val="0"/>
          <w:sz w:val="20"/>
        </w:rPr>
        <w:t>(ii) The gate replicates in eight of nine configurations and fails in one.</w:t>
      </w:r>
      <w:r>
        <w:rPr>
          <w:rFonts w:ascii="Times New Roman" w:hAnsi="Times New Roman"/>
          <w:b w:val="0"/>
          <w:i w:val="0"/>
          <w:sz w:val="20"/>
        </w:rPr>
        <w:t xml:space="preserve"> Across the full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those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rather than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rather than as a dense-only caveat. </w:t>
      </w:r>
      <w:r>
        <w:rPr>
          <w:rFonts w:ascii="Times New Roman" w:hAnsi="Times New Roman"/>
          <w:b/>
          <w:i w:val="0"/>
          <w:sz w:val="20"/>
        </w:rPr>
        <w:t>(iii) On this benchmark the convention moves magnitudes, not the ranking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w:t>
      </w:r>
      <w:r>
        <w:rPr>
          <w:rFonts w:ascii="Times New Roman" w:hAnsi="Times New Roman"/>
          <w:b w:val="0"/>
          <w:i w:val="0"/>
          <w:sz w:val="20"/>
        </w:rPr>
        <w:t>, 1 inversion of 36) — the same asymmetry §5.12 reports for the decision forms. Its sensitivity to the input scale is bounded in Appendix M.41.</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any data</w:t>
      </w:r>
      <w:r>
        <w:rPr>
          <w:rFonts w:ascii="Times New Roman" w:hAnsi="Times New Roman"/>
          <w:b w:val="0"/>
          <w:i w:val="0"/>
          <w:sz w:val="20"/>
        </w:rPr>
        <w:t xml:space="preserve"> (preregistration </w:t>
      </w:r>
      <w:r>
        <w:rPr>
          <w:rFonts w:ascii="Times New Roman" w:hAnsi="Times New Roman"/>
          <w:b w:val="0"/>
          <w:i/>
          <w:sz w:val="20"/>
        </w:rPr>
        <w:t>75eeca6fa68c9be65c2b569d4237d8df</w:t>
      </w:r>
      <w:r>
        <w:rPr>
          <w:rFonts w:ascii="Times New Roman" w:hAnsi="Times New Roman"/>
          <w:b w:val="0"/>
          <w:i w:val="0"/>
          <w:sz w:val="20"/>
        </w:rPr>
        <w:t xml:space="preserve">; rule and full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xml:space="preserve"> — five of those lineages appear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ordering rule holds; and the zero rate is a property of the domain rather than of the family.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rather than fatal. Idefics3-8B leaves </w:t>
      </w:r>
      <w:r>
        <w:rPr>
          <w:rFonts w:ascii="Times New Roman" w:hAnsi="Times New Roman"/>
          <w:b/>
          <w:i w:val="0"/>
          <w:sz w:val="20"/>
        </w:rPr>
        <w:t>7.23%</w:t>
      </w:r>
      <w:r>
        <w:rPr>
          <w:rFonts w:ascii="Times New Roman" w:hAnsi="Times New Roman"/>
          <w:b w:val="0"/>
          <w:i w:val="0"/>
          <w:sz w:val="20"/>
        </w:rPr>
        <w:t xml:space="preserve">, but its residual sits on sparse aerial items whose ground truth is one to three objects — a missed tiny target, not a refused outlet. deepseek-vl2-tiny leaves </w:t>
      </w:r>
      <w:r>
        <w:rPr>
          <w:rFonts w:ascii="Times New Roman" w:hAnsi="Times New Roman"/>
          <w:b/>
          <w:i w:val="0"/>
          <w:sz w:val="20"/>
        </w:rPr>
        <w:t>48.28%</w:t>
      </w:r>
      <w:r>
        <w:rPr>
          <w:rFonts w:ascii="Times New Roman" w:hAnsi="Times New Roman"/>
          <w:b w:val="0"/>
          <w:i w:val="0"/>
          <w:sz w:val="20"/>
        </w:rPr>
        <w:t xml:space="preserve">: it never abstains in the aerial domains and its dense-domain output is 99% unparsable, so its numbers are a format failure and a genuine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while the resolution knob alone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That is the population-level statement the earlier corpora could not make.</w:t>
      </w:r>
    </w:p>
    <w:p>
      <w:r>
        <w:rPr>
          <w:rFonts w:ascii="Times New Roman" w:hAnsi="Times New Roman"/>
          <w:b/>
          <w:i w:val="0"/>
          <w:sz w:val="20"/>
        </w:rPr>
        <w:t>Two of the six pre-registered predictions failed outright</w:t>
      </w:r>
      <w:r>
        <w:rPr>
          <w:rFonts w:ascii="Times New Roman" w:hAnsi="Times New Roman"/>
          <w:b w:val="0"/>
          <w:i w:val="0"/>
          <w:sz w:val="20"/>
        </w:rPr>
        <w:t xml:space="preserve"> (two further sub-items failed; a prediction counts as failed only when its primary criterion failed), and both bear on scope rather than on the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becoming able to count</w:t>
      </w:r>
      <w:r>
        <w:rPr>
          <w:rFonts w:ascii="Times New Roman" w:hAnsi="Times New Roman"/>
          <w:b w:val="0"/>
          <w:i w:val="0"/>
          <w:sz w:val="20"/>
        </w:rPr>
        <w:t xml:space="preserve"> (full verdicts and per-family numbers: Appendix M.31.2–M.31.4).</w:t>
      </w:r>
    </w:p>
    <w:p>
      <w:r>
        <w:rPr>
          <w:rFonts w:ascii="Times New Roman" w:hAnsi="Times New Roman"/>
          <w:b/>
          <w:i w:val="0"/>
          <w:sz w:val="20"/>
        </w:rPr>
        <w:t>On hosted endpoints the abstention is latent rather than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no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The failure that open families express as a zero is present in frontier hosted models too; only its expression differs.</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rather than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 xml:space="preserve">Three further measurement properties matter here, with protocols in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a stable property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which is why our VLM protocol fixes temperature at 0 (H.2); and the collapse of density-regression output under overlap occurs for both 8B and 32B models at comparable overlap levels, making it a property of the task structure rather than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rather than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w:t>
      </w:r>
      <w:r>
        <w:rPr>
          <w:rFonts w:ascii="Times New Roman" w:hAnsi="Times New Roman"/>
          <w:b w:val="0"/>
          <w:i w:val="0"/>
          <w:sz w:val="20"/>
        </w:rPr>
        <w:t xml:space="preserve">) lies below it. For the split </w:t>
      </w:r>
      <w:r>
        <w:rPr>
          <w:rFonts w:ascii="Times New Roman" w:hAnsi="Times New Roman"/>
          <w:b w:val="0"/>
          <w:i/>
          <w:sz w:val="20"/>
        </w:rPr>
        <w:t>as observed</w:t>
      </w:r>
      <w:r>
        <w:rPr>
          <w:rFonts w:ascii="Times New Roman" w:hAnsi="Times New Roman"/>
          <w:b w:val="0"/>
          <w:i w:val="0"/>
          <w:sz w:val="20"/>
        </w:rPr>
        <w:t xml:space="preserve"> (</w:t>
      </w:r>
      <w:r>
        <w:rPr>
          <w:rFonts w:ascii="Times New Roman" w:hAnsi="Times New Roman"/>
          <w:b/>
          <w:i w:val="0"/>
          <w:sz w:val="20"/>
        </w:rPr>
        <w:t>3 vs 7</w:t>
      </w:r>
      <w:r>
        <w:rPr>
          <w:rFonts w:ascii="Times New Roman" w:hAnsi="Times New Roman"/>
          <w:b w:val="0"/>
          <w:i w:val="0"/>
          <w:sz w:val="20"/>
        </w:rPr>
        <w:t xml:space="preserve">) the nine enumerated split points span only </w:t>
      </w:r>
      <w:r>
        <w:rPr>
          <w:rFonts w:ascii="Times New Roman" w:hAnsi="Times New Roman"/>
          <w:b/>
          <w:i w:val="0"/>
          <w:sz w:val="20"/>
        </w:rPr>
        <w:t>120</w:t>
      </w:r>
      <w:r>
        <w:rPr>
          <w:rFonts w:ascii="Times New Roman" w:hAnsi="Times New Roman"/>
          <w:b w:val="0"/>
          <w:i w:val="0"/>
          <w:sz w:val="20"/>
        </w:rPr>
        <w:t xml:space="preserve"> assignments, so the </w:t>
      </w:r>
      <w:r>
        <w:rPr>
          <w:rFonts w:ascii="Times New Roman" w:hAnsi="Times New Roman"/>
          <w:b/>
          <w:i w:val="0"/>
          <w:sz w:val="20"/>
        </w:rPr>
        <w:t>smallest attainable corrected p is 0.075</w:t>
      </w:r>
      <w:r>
        <w:rPr>
          <w:rFonts w:ascii="Times New Roman" w:hAnsi="Times New Roman"/>
          <w:b w:val="0"/>
          <w:i w:val="0"/>
          <w:sz w:val="20"/>
        </w:rPr>
        <w:t xml:space="preserve"> — </w:t>
      </w:r>
      <w:r>
        <w:rPr>
          <w:rFonts w:ascii="Times New Roman" w:hAnsi="Times New Roman"/>
          <w:b/>
          <w:i w:val="0"/>
          <w:sz w:val="20"/>
        </w:rPr>
        <w:t>no gap whatsoever would be certified by this test</w:t>
      </w:r>
      <w:r>
        <w:rPr>
          <w:rFonts w:ascii="Times New Roman" w:hAnsi="Times New Roman"/>
          <w:b w:val="0"/>
          <w:i w:val="0"/>
          <w:sz w:val="20"/>
        </w:rPr>
        <w:t xml:space="preserve">; a 5-vs-5 split would need </w:t>
      </w:r>
      <w:r>
        <w:rPr>
          <w:rFonts w:ascii="Times New Roman" w:hAnsi="Times New Roman"/>
          <w:b/>
          <w:i w:val="0"/>
          <w:sz w:val="20"/>
        </w:rPr>
        <w:t>6.5 pp</w:t>
      </w:r>
      <w:r>
        <w:rPr>
          <w:rFonts w:ascii="Times New Roman" w:hAnsi="Times New Roman"/>
          <w:b w:val="0"/>
          <w:i w:val="0"/>
          <w:sz w:val="20"/>
        </w:rPr>
        <w:t xml:space="preserve"> for 80% power. </w:t>
      </w:r>
      <w:r>
        <w:rPr>
          <w:rFonts w:ascii="Times New Roman" w:hAnsi="Times New Roman"/>
          <w:b/>
          <w:i w:val="0"/>
          <w:sz w:val="20"/>
        </w:rPr>
        <w:t>We therefore do not claim a separable structure</w:t>
      </w:r>
      <w:r>
        <w:rPr>
          <w:rFonts w:ascii="Times New Roman" w:hAnsi="Times New Roman"/>
          <w:b w:val="0"/>
          <w:i w:val="0"/>
          <w:sz w:val="20"/>
        </w:rPr>
        <w:t xml:space="preserve"> and report the 1.6 pp gap for completeness only; what the design supports is the </w:t>
      </w:r>
      <w:r>
        <w:rPr>
          <w:rFonts w:ascii="Times New Roman" w:hAnsi="Times New Roman"/>
          <w:b/>
          <w:i w:val="0"/>
          <w:sz w:val="20"/>
        </w:rPr>
        <w:t>ordering</w:t>
      </w:r>
      <w:r>
        <w:rPr>
          <w:rFonts w:ascii="Times New Roman" w:hAnsi="Times New Roman"/>
          <w:b w:val="0"/>
          <w:i w:val="0"/>
          <w:sz w:val="20"/>
        </w:rPr>
        <w:t xml:space="preserve">, specifically under the </w:t>
      </w:r>
      <w:r>
        <w:rPr>
          <w:rFonts w:ascii="Times New Roman" w:hAnsi="Times New Roman"/>
          <w:b/>
          <w:i w:val="0"/>
          <w:sz w:val="20"/>
        </w:rPr>
        <w:t>pooled relative deviation</w:t>
      </w:r>
      <w:r>
        <w:rPr>
          <w:rFonts w:ascii="Times New Roman" w:hAnsi="Times New Roman"/>
          <w:b w:val="0"/>
          <w:i w:val="0"/>
          <w:sz w:val="20"/>
        </w:rPr>
        <w:t xml:space="preserve"> (Appendix F.7, M.37). F.9 is an illustration only; the load-bearing ordering evidence is the </w:t>
      </w:r>
      <w:r>
        <w:rPr>
          <w:rFonts w:ascii="Times New Roman" w:hAnsi="Times New Roman"/>
          <w:b/>
          <w:i w:val="0"/>
          <w:sz w:val="20"/>
        </w:rPr>
        <w:t>recomputable</w:t>
      </w:r>
      <w:r>
        <w:rPr>
          <w:rFonts w:ascii="Times New Roman" w:hAnsi="Times New Roman"/>
          <w:b w:val="0"/>
          <w:i w:val="0"/>
          <w:sz w:val="20"/>
        </w:rPr>
        <w:t xml:space="preserve"> set of Appendix M.37.</w:t>
      </w:r>
    </w:p>
    <w:p>
      <w:r>
        <w:rPr>
          <w:rFonts w:ascii="Times New Roman" w:hAnsi="Times New Roman"/>
          <w:b/>
          <w:i w:val="0"/>
          <w:sz w:val="20"/>
        </w:rPr>
        <w:t>The ordering is stable under the two obvious deflations, and we report it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is preserved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unit bootstrap puts it at </w:t>
      </w:r>
      <w:r>
        <w:rPr>
          <w:rFonts w:ascii="Times New Roman" w:hAnsi="Times New Roman"/>
          <w:b/>
          <w:i w:val="0"/>
          <w:sz w:val="20"/>
        </w:rPr>
        <w:t>0.939–0.996</w:t>
      </w:r>
      <w:r>
        <w:rPr>
          <w:rFonts w:ascii="Times New Roman" w:hAnsi="Times New Roman"/>
          <w:b w:val="0"/>
          <w:i w:val="0"/>
          <w:sz w:val="20"/>
        </w:rPr>
        <w:t xml:space="preserve"> (31 units) and </w:t>
      </w:r>
      <w:r>
        <w:rPr>
          <w:rFonts w:ascii="Times New Roman" w:hAnsi="Times New Roman"/>
          <w:b/>
          <w:i w:val="0"/>
          <w:sz w:val="20"/>
        </w:rPr>
        <w:t>0.836–0.983</w:t>
      </w:r>
      <w:r>
        <w:rPr>
          <w:rFonts w:ascii="Times New Roman" w:hAnsi="Times New Roman"/>
          <w:b w:val="0"/>
          <w:i w:val="0"/>
          <w:sz w:val="20"/>
        </w:rPr>
        <w:t xml:space="preserve"> (36 units, k=3); a label-permutation test gives p&lt;5×10^-5; leaving out any single knob keeps it at </w:t>
      </w:r>
      <w:r>
        <w:rPr>
          <w:rFonts w:ascii="Times New Roman" w:hAnsi="Times New Roman"/>
          <w:b/>
          <w:i w:val="0"/>
          <w:sz w:val="20"/>
        </w:rPr>
        <w:t>0.883–0.970</w:t>
      </w:r>
      <w:r>
        <w:rPr>
          <w:rFonts w:ascii="Times New Roman" w:hAnsi="Times New Roman"/>
          <w:b w:val="0"/>
          <w:i w:val="0"/>
          <w:sz w:val="20"/>
        </w:rPr>
        <w:t xml:space="preserve">; per-unit spans with their own caliber intervals are plotted in </w:t>
      </w:r>
      <w:r>
        <w:rPr>
          <w:rFonts w:ascii="Times New Roman" w:hAnsi="Times New Roman"/>
          <w:b/>
          <w:i w:val="0"/>
          <w:sz w:val="20"/>
        </w:rPr>
        <w:t>Fig. F.17</w:t>
      </w:r>
      <w:r>
        <w:rPr>
          <w:rFonts w:ascii="Times New Roman" w:hAnsi="Times New Roman"/>
          <w:b w:val="0"/>
          <w:i w:val="0"/>
          <w:sz w:val="20"/>
        </w:rPr>
        <w:t xml:space="preserve"> (Appendix F.12). It is also </w:t>
      </w:r>
      <w:r>
        <w:rPr>
          <w:rFonts w:ascii="Times New Roman" w:hAnsi="Times New Roman"/>
          <w:b/>
          <w:i w:val="0"/>
          <w:sz w:val="20"/>
        </w:rPr>
        <w:t>exactly</w:t>
      </w:r>
      <w:r>
        <w:rPr>
          <w:rFonts w:ascii="Times New Roman" w:hAnsi="Times New Roman"/>
          <w:b w:val="0"/>
          <w:i w:val="0"/>
          <w:sz w:val="20"/>
        </w:rPr>
        <w:t xml:space="preserve"> preserved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w:t>
      </w:r>
      <w:r>
        <w:rPr>
          <w:rFonts w:ascii="Times New Roman" w:hAnsi="Times New Roman"/>
          <w:b/>
          <w:i w:val="0"/>
          <w:sz w:val="20"/>
        </w:rPr>
        <w:t>not</w:t>
      </w:r>
      <w:r>
        <w:rPr>
          <w:rFonts w:ascii="Times New Roman" w:hAnsi="Times New Roman"/>
          <w:b w:val="0"/>
          <w:i w:val="0"/>
          <w:sz w:val="20"/>
        </w:rPr>
        <w:t xml:space="preserve">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0.548</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a compressor must vary its factor </w:t>
      </w:r>
      <w:r>
        <w:rPr>
          <w:rFonts w:ascii="Times New Roman" w:hAnsi="Times New Roman"/>
          <w:b/>
          <w:i w:val="0"/>
          <w:sz w:val="20"/>
        </w:rPr>
        <w:t>across units</w:t>
      </w:r>
      <w:r>
        <w:rPr>
          <w:rFonts w:ascii="Times New Roman" w:hAnsi="Times New Roman"/>
          <w:b w:val="0"/>
          <w:i w:val="0"/>
          <w:sz w:val="20"/>
        </w:rPr>
        <w:t xml:space="preserve">; </w:t>
      </w:r>
      <w:r>
        <w:rPr>
          <w:rFonts w:ascii="Times New Roman" w:hAnsi="Times New Roman"/>
          <w:b/>
          <w:i w:val="0"/>
          <w:sz w:val="20"/>
        </w:rPr>
        <w:t>no deployment-usable granularity does so while preserving the ordering</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per-knob </w:t>
      </w:r>
      <w:r>
        <w:rPr>
          <w:rFonts w:ascii="Times New Roman" w:hAnsi="Times New Roman"/>
          <w:b/>
          <w:i w:val="0"/>
          <w:sz w:val="20"/>
        </w:rPr>
        <w:t>0.790</w:t>
      </w:r>
      <w:r>
        <w:rPr>
          <w:rFonts w:ascii="Times New Roman" w:hAnsi="Times New Roman"/>
          <w:b w:val="0"/>
          <w:i w:val="0"/>
          <w:sz w:val="20"/>
        </w:rPr>
        <w:t xml:space="preserve">, per-unit </w:t>
      </w:r>
      <w:r>
        <w:rPr>
          <w:rFonts w:ascii="Times New Roman" w:hAnsi="Times New Roman"/>
          <w:b/>
          <w:i w:val="0"/>
          <w:sz w:val="20"/>
        </w:rPr>
        <w:t>0.536</w:t>
      </w:r>
      <w:r>
        <w:rPr>
          <w:rFonts w:ascii="Times New Roman" w:hAnsi="Times New Roman"/>
          <w:b w:val="0"/>
          <w:i w:val="0"/>
          <w:sz w:val="20"/>
        </w:rPr>
        <w:t xml:space="preserve">; Appendix M.37). The claim is scoped to the first two calibers, and the VLM unit's own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reconciles the three unit sets; M.37). </w:t>
      </w:r>
      <w:r>
        <w:rPr>
          <w:rFonts w:ascii="Times New Roman" w:hAnsi="Times New Roman"/>
          <w:b/>
          <w:i w:val="0"/>
          <w:sz w:val="20"/>
        </w:rPr>
        <w:t>No scale-free form of the span — equal-count gridding, endpoint removal, or the three M.37 calibration families — makes cross-knob magnitudes invariant, and the ordering also survives normalising each span by its knob's relative travel (Appendix F.10; M.42–M.45).</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p>
    <w:p>
      <w:r>
        <w:rPr>
          <w:rFonts w:ascii="Times New Roman" w:hAnsi="Times New Roman"/>
          <w:b/>
          <w:i w:val="0"/>
          <w:sz w:val="20"/>
        </w:rPr>
        <w:t>What the spectrum supports is an ordering rule, and we state it as one.</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And </w:t>
      </w:r>
      <w:r>
        <w:rPr>
          <w:rFonts w:ascii="Times New Roman" w:hAnsi="Times New Roman"/>
          <w:b/>
          <w:i w:val="0"/>
          <w:sz w:val="20"/>
        </w:rPr>
        <w:t>the ordering is the surviving quantity</w:t>
      </w:r>
      <w:r>
        <w:rPr>
          <w:rFonts w:ascii="Times New Roman" w:hAnsi="Times New Roman"/>
          <w:b w:val="0"/>
          <w:i w:val="0"/>
          <w:sz w:val="20"/>
        </w:rPr>
        <w:t xml:space="preserve">, under the level sets compared: </w:t>
      </w:r>
      <w:r>
        <w:rPr>
          <w:rFonts w:ascii="Times New Roman" w:hAnsi="Times New Roman"/>
          <w:b/>
          <w:i w:val="0"/>
          <w:sz w:val="20"/>
        </w:rPr>
        <w:t>rank knobs by this ordering, and quote a magnitude only with the grid density and the calibration caliber that produced it.</w:t>
      </w:r>
      <w:r>
        <w:rPr>
          <w:rFonts w:ascii="Times New Roman" w:hAnsi="Times New Roman"/>
          <w:b w:val="0"/>
          <w:i w:val="0"/>
          <w:sz w:val="20"/>
        </w:rPr>
        <w:t xml:space="preserve"> Our own candidate for the magnitude (Proposition 3) is a component of the definition and is withdrawn, so a magnitude law remains open — but the ordering rule is what a practitioner needs to choose between knobs, and it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lineage reaches `pred/gt ≥ 1` at any threshold</w:t>
      </w:r>
      <w:r>
        <w:rPr>
          <w:rFonts w:ascii="Times New Roman" w:hAnsi="Times New Roman"/>
          <w:b w:val="0"/>
          <w:i w:val="0"/>
          <w:sz w:val="20"/>
        </w:rPr>
        <w:t xml:space="preserve"> and the span collapses close to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 xml:space="preserve">Two facts survive (per-arm numbers are labelled by model × domain × contract arm × convention, and each is a pooled relative deviation on the common item intersection; Appendix G.1).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(Appendix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rather than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([49]–[50]).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it needs annotation boxes, so the </w:t>
      </w:r>
      <w:r>
        <w:rPr>
          <w:rFonts w:ascii="Times New Roman" w:hAnsi="Times New Roman"/>
          <w:b/>
          <w:i w:val="0"/>
          <w:sz w:val="20"/>
        </w:rPr>
        <w:t>adoption recipe</w:t>
      </w:r>
      <w:r>
        <w:rPr>
          <w:rFonts w:ascii="Times New Roman" w:hAnsi="Times New Roman"/>
          <w:b w:val="0"/>
          <w:i w:val="0"/>
          <w:sz w:val="20"/>
        </w:rPr>
        <w:t xml:space="preserve"> for a third party with none is in Appendix M.22. </w:t>
      </w:r>
      <w:r>
        <w:rPr>
          <w:rFonts w:ascii="Times New Roman" w:hAnsi="Times New Roman"/>
          <w:b/>
          <w:i w:val="0"/>
          <w:sz w:val="20"/>
        </w:rPr>
        <w:t>A rule that works was looked for and not found.</w:t>
      </w:r>
      <w:r>
        <w:rPr>
          <w:rFonts w:ascii="Times New Roman" w:hAnsi="Times New Roman"/>
          <w:b w:val="0"/>
          <w:i w:val="0"/>
          <w:sz w:val="20"/>
        </w:rPr>
        <w:t xml:space="preserve"> Three annotation-free signals — cross-scale, cross-phrasing and cross-family agreement —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identifiable from outputs alone</w:t>
      </w:r>
      <w:r>
        <w:rPr>
          <w:rFonts w:ascii="Times New Roman" w:hAnsi="Times New Roman"/>
          <w:b w:val="0"/>
          <w:i w:val="0"/>
          <w:sz w:val="20"/>
        </w:rPr>
        <w:t xml:space="preserve"> — it has to come from outside the answers (Appendices M.23, M.14).</w:t>
      </w:r>
    </w:p>
    <w:p>
      <w:pPr>
        <w:pStyle w:val="Heading3"/>
      </w:pPr>
      <w:r>
        <w:rPr>
          <w:rFonts w:ascii="Times New Roman" w:hAnsi="Times New Roman"/>
          <w:b/>
          <w:i w:val="0"/>
          <w:sz w:val="20"/>
        </w:rPr>
        <w:t>7.8 An independent endorsement of enumeration over regression</w:t>
      </w:r>
    </w:p>
    <w:p>
      <w:r>
        <w:rPr>
          <w:rFonts w:ascii="Times New Roman" w:hAnsi="Times New Roman"/>
          <w:b w:val="0"/>
          <w:i w:val="0"/>
          <w:sz w:val="20"/>
        </w:rPr>
        <w:t>That enumeration-style counting is more directionally controllable than regression-style counting is not isolated to this paper: work on other tasks independently finds that regress-then-round pipelines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paper's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contract arms against any OpenAI-compatible endpoint given only a directory of images — no dependency on our corpora, annotations or detectors, and with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the </w:t>
      </w:r>
      <w:r>
        <w:rPr>
          <w:rFonts w:ascii="Times New Roman" w:hAnsi="Times New Roman"/>
          <w:b/>
          <w:i w:val="0"/>
          <w:sz w:val="20"/>
        </w:rPr>
        <w:t>abstention mass</w:t>
      </w:r>
      <w:r>
        <w:rPr>
          <w:rFonts w:ascii="Times New Roman" w:hAnsi="Times New Roman"/>
          <w:b w:val="0"/>
          <w:i w:val="0"/>
          <w:sz w:val="20"/>
        </w:rPr>
        <w:t xml:space="preserve"> w, and both conventions' deviations with their verdicts. The thresholds are frozen in </w:t>
      </w:r>
      <w:r>
        <w:rPr>
          <w:rFonts w:ascii="Times New Roman" w:hAnsi="Times New Roman"/>
          <w:b w:val="0"/>
          <w:i/>
          <w:sz w:val="20"/>
        </w:rPr>
        <w:t>adopt_criteria.json</w:t>
      </w:r>
      <w:r>
        <w:rPr>
          <w:rFonts w:ascii="Times New Roman" w:hAnsi="Times New Roman"/>
          <w:b w:val="0"/>
          <w:i w:val="0"/>
          <w:sz w:val="20"/>
        </w:rPr>
        <w:t xml:space="preserve"> (residual ≤5% ⇒ contract-set; &gt;30% ⇒ record a counterexample and retry with the three-option wording; a convention gap below the 7 pp noise floor ⇒ immaterial for that cell). Adoption costs one serving session and yields the two quantities §5.3–§5.13 turn on, which is what makes these comparisons reproducible elsewhere (M.22). In a first independent use it was run, unchanged, on two corpora whose recipe residual had never been reported — including a large unconstrained dense-crowd release (JHU-CROWD++ [51]) — with the criteria fixed before the runs (Appendix M.46).</w:t>
      </w:r>
    </w:p>
    <w:p>
      <w:pPr>
        <w:pStyle w:val="Heading2"/>
      </w:pPr>
      <w:r>
        <w:rPr>
          <w:rFonts w:ascii="Times New Roman" w:hAnsi="Times New Roman"/>
          <w:b/>
          <w:i w:val="0"/>
          <w:sz w:val="24"/>
        </w:rPr>
        <w:t>8. Limitations</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Six counts of measurement fragility are disclosed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are itemised there, one of them a dead parse branch; </w:t>
      </w:r>
      <w:r>
        <w:rPr>
          <w:rFonts w:ascii="Times New Roman" w:hAnsi="Times New Roman"/>
          <w:b/>
          <w:i w:val="0"/>
          <w:sz w:val="20"/>
        </w:rPr>
        <w:t>Run-to-run non-determinism</w:t>
      </w:r>
      <w:r>
        <w:rPr>
          <w:rFonts w:ascii="Times New Roman" w:hAnsi="Times New Roman"/>
          <w:b w:val="0"/>
          <w:i w:val="0"/>
          <w:sz w:val="20"/>
        </w:rPr>
        <w:t xml:space="preserve"> is characterised below; </w:t>
      </w:r>
      <w:r>
        <w:rPr>
          <w:rFonts w:ascii="Times New Roman" w:hAnsi="Times New Roman"/>
          <w:b/>
          <w:i w:val="0"/>
          <w:sz w:val="20"/>
        </w:rPr>
        <w:t>Graded isolation</w:t>
      </w:r>
      <w:r>
        <w:rPr>
          <w:rFonts w:ascii="Times New Roman" w:hAnsi="Times New Roman"/>
          <w:b w:val="0"/>
          <w:i w:val="0"/>
          <w:sz w:val="20"/>
        </w:rPr>
        <w:t xml:space="preserve"> carries a residue ledger; </w:t>
      </w:r>
      <w:r>
        <w:rPr>
          <w:rFonts w:ascii="Times New Roman" w:hAnsi="Times New Roman"/>
          <w:b/>
          <w:i w:val="0"/>
          <w:sz w:val="20"/>
        </w:rPr>
        <w:t>a census of anomalous predictions</w:t>
      </w:r>
      <w:r>
        <w:rPr>
          <w:rFonts w:ascii="Times New Roman" w:hAnsi="Times New Roman"/>
          <w:b w:val="0"/>
          <w:i w:val="0"/>
          <w:sz w:val="20"/>
        </w:rPr>
        <w:t xml:space="preserve"> records what the graded tiers hold; </w:t>
      </w:r>
      <w:r>
        <w:rPr>
          <w:rFonts w:ascii="Times New Roman" w:hAnsi="Times New Roman"/>
          <w:b/>
          <w:i w:val="0"/>
          <w:sz w:val="20"/>
        </w:rPr>
        <w:t>No attention-based criterion</w:t>
      </w:r>
      <w:r>
        <w:rPr>
          <w:rFonts w:ascii="Times New Roman" w:hAnsi="Times New Roman"/>
          <w:b w:val="0"/>
          <w:i w:val="0"/>
          <w:sz w:val="20"/>
        </w:rPr>
        <w:t xml:space="preserve"> is available to us; and </w:t>
      </w:r>
      <w:r>
        <w:rPr>
          <w:rFonts w:ascii="Times New Roman" w:hAnsi="Times New Roman"/>
          <w:b/>
          <w:i w:val="0"/>
          <w:sz w:val="20"/>
        </w:rPr>
        <w:t>Per-cell intervals are lower bounds</w:t>
      </w:r>
      <w:r>
        <w:rPr>
          <w:rFonts w:ascii="Times New Roman" w:hAnsi="Times New Roman"/>
          <w:b w:val="0"/>
          <w:i w:val="0"/>
          <w:sz w:val="20"/>
        </w:rPr>
        <w:t xml:space="preserve">, because where a cell has few levels the across-repeat term can </w:t>
      </w:r>
      <w:r>
        <w:rPr>
          <w:rFonts w:ascii="Times New Roman" w:hAnsi="Times New Roman"/>
          <w:b/>
          <w:i w:val="0"/>
          <w:sz w:val="20"/>
        </w:rPr>
        <w:t>exceed the interval width itself</w:t>
      </w:r>
      <w:r>
        <w:rPr>
          <w:rFonts w:ascii="Times New Roman" w:hAnsi="Times New Roman"/>
          <w:b w:val="0"/>
          <w:i w:val="0"/>
          <w:sz w:val="20"/>
        </w:rPr>
        <w:t xml:space="preserve"> — by roughly a factor of two (§A.2). None of the aggregates above depends on the affected runs (§3.7, §5.1). The two numbers: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[52], [53] and for evaluation harnesses [54], [55].</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was not measured — a non-monotonicity existing work suggests may exist.</w:t>
      </w:r>
    </w:p>
    <w:p>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claim nothing about intent; the operationalisation is stated so that it can be replaced.</w:t>
      </w:r>
    </w:p>
    <w:p>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domain conditionality and §4.5's unsealing granularity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its </w:t>
      </w:r>
      <w:r>
        <w:rPr>
          <w:rFonts w:ascii="Times New Roman" w:hAnsi="Times New Roman"/>
          <w:b/>
          <w:i w:val="0"/>
          <w:sz w:val="20"/>
        </w:rPr>
        <w:t>384-px</w:t>
      </w:r>
      <w:r>
        <w:rPr>
          <w:rFonts w:ascii="Times New Roman" w:hAnsi="Times New Roman"/>
          <w:b w:val="0"/>
          <w:i w:val="0"/>
          <w:sz w:val="20"/>
        </w:rPr>
        <w:t xml:space="preserve"> resolution is the release's own short-side constraint, and </w:t>
      </w:r>
      <w:r>
        <w:rPr>
          <w:rFonts w:ascii="Times New Roman" w:hAnsi="Times New Roman"/>
          <w:b/>
          <w:i w:val="0"/>
          <w:sz w:val="20"/>
        </w:rPr>
        <w:t>M.41</w:t>
      </w:r>
      <w:r>
        <w:rPr>
          <w:rFonts w:ascii="Times New Roman" w:hAnsi="Times New Roman"/>
          <w:b w:val="0"/>
          <w:i w:val="0"/>
          <w:sz w:val="20"/>
        </w:rPr>
        <w:t xml:space="preserve"> varies it (contract arms ≤ </w:t>
      </w:r>
      <w:r>
        <w:rPr>
          <w:rFonts w:ascii="Times New Roman" w:hAnsi="Times New Roman"/>
          <w:b/>
          <w:i w:val="0"/>
          <w:sz w:val="20"/>
        </w:rPr>
        <w:t>2.0 pp</w:t>
      </w:r>
      <w:r>
        <w:rPr>
          <w:rFonts w:ascii="Times New Roman" w:hAnsi="Times New Roman"/>
          <w:b w:val="0"/>
          <w:i w:val="0"/>
          <w:sz w:val="20"/>
        </w:rPr>
        <w:t xml:space="preserve">, exemplar abstention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one step). The three hosted endpoints are deployments we cannot pin to a build, so their numbers are dated rather than frozen.</w:t>
      </w:r>
    </w:p>
    <w:p>
      <w:r>
        <w:rPr>
          <w:rFonts w:ascii="Times New Roman" w:hAnsi="Times New Roman"/>
          <w:b/>
          <w:i w:val="0"/>
          <w:sz w:val="20"/>
        </w:rPr>
        <w:t>The abstention identification rests on a two-channel assumption.</w:t>
      </w:r>
      <w:r>
        <w:rPr>
          <w:rFonts w:ascii="Times New Roman" w:hAnsi="Times New Roman"/>
          <w:b w:val="0"/>
          <w:i w:val="0"/>
          <w:sz w:val="20"/>
        </w:rPr>
        <w:t xml:space="preserve"> That assumption is </w:t>
      </w:r>
      <w:r>
        <w:rPr>
          <w:rFonts w:ascii="Times New Roman" w:hAnsi="Times New Roman"/>
          <w:b/>
          <w:i w:val="0"/>
          <w:sz w:val="20"/>
        </w:rPr>
        <w:t>testable</w:t>
      </w:r>
      <w:r>
        <w:rPr>
          <w:rFonts w:ascii="Times New Roman" w:hAnsi="Times New Roman"/>
          <w:b w:val="0"/>
          <w:i w:val="0"/>
          <w:sz w:val="20"/>
        </w:rPr>
        <w:t xml:space="preserve">, and is tested (§5.7).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the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closes that gap: on </w:t>
      </w:r>
      <w:r>
        <w:rPr>
          <w:rFonts w:ascii="Times New Roman" w:hAnsi="Times New Roman"/>
          <w:b/>
          <w:i w:val="0"/>
          <w:sz w:val="20"/>
        </w:rPr>
        <w:t>306</w:t>
      </w:r>
      <w:r>
        <w:rPr>
          <w:rFonts w:ascii="Times New Roman" w:hAnsi="Times New Roman"/>
          <w:b w:val="0"/>
          <w:i w:val="0"/>
          <w:sz w:val="20"/>
        </w:rPr>
        <w:t xml:space="preserve"> crops whose correct answer is zero by the dataset's own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items </w:t>
      </w:r>
      <w:r>
        <w:rPr>
          <w:rFonts w:ascii="Times New Roman" w:hAnsi="Times New Roman"/>
          <w:b/>
          <w:i w:val="0"/>
          <w:sz w:val="20"/>
        </w:rPr>
        <w:t>of the easy stratum</w:t>
      </w:r>
      <w:r>
        <w:rPr>
          <w:rFonts w:ascii="Times New Roman" w:hAnsi="Times New Roman"/>
          <w:b w:val="0"/>
          <w:i w:val="0"/>
          <w:sz w:val="20"/>
        </w:rPr>
        <w:t xml:space="preserve">, whereas on dense items the census had answered zero the same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the two outlets' </w:t>
      </w:r>
      <w:r>
        <w:rPr>
          <w:rFonts w:ascii="Times New Roman" w:hAnsi="Times New Roman"/>
          <w:b/>
          <w:i w:val="0"/>
          <w:sz w:val="20"/>
        </w:rPr>
        <w:t>sensitivity and specificity on stated pools</w:t>
      </w:r>
      <w:r>
        <w:rPr>
          <w:rFonts w:ascii="Times New Roman" w:hAnsi="Times New Roman"/>
          <w:b w:val="0"/>
          <w:i w:val="0"/>
          <w:sz w:val="20"/>
        </w:rPr>
        <w:t xml:space="preserve">, which is </w:t>
      </w:r>
      <w:r>
        <w:rPr>
          <w:rFonts w:ascii="Times New Roman" w:hAnsi="Times New Roman"/>
          <w:b/>
          <w:i w:val="0"/>
          <w:sz w:val="20"/>
        </w:rPr>
        <w:t>not</w:t>
      </w:r>
      <w:r>
        <w:rPr>
          <w:rFonts w:ascii="Times New Roman" w:hAnsi="Times New Roman"/>
          <w:b w:val="0"/>
          <w:i w:val="0"/>
          <w:sz w:val="20"/>
        </w:rPr>
        <w:t xml:space="preserve"> the channel's precision. </w:t>
      </w:r>
      <w:r>
        <w:rPr>
          <w:rFonts w:ascii="Times New Roman" w:hAnsi="Times New Roman"/>
          <w:b/>
          <w:i w:val="0"/>
          <w:sz w:val="20"/>
        </w:rPr>
        <w:t>On these pools answering zero is correct behaviour</w:t>
      </w:r>
      <w:r>
        <w:rPr>
          <w:rFonts w:ascii="Times New Roman" w:hAnsi="Times New Roman"/>
          <w:b w:val="0"/>
          <w:i w:val="0"/>
          <w:sz w:val="20"/>
        </w:rPr>
        <w:t>, so the control measures sensitivity and says nothing about the mixed corpus (§3.8; Appendices M.21, M.38, M.40).</w:t>
      </w:r>
    </w:p>
    <w:p>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on the public benchmark FSC-147 it holds in </w:t>
      </w:r>
      <w:r>
        <w:rPr>
          <w:rFonts w:ascii="Times New Roman" w:hAnsi="Times New Roman"/>
          <w:b/>
          <w:i w:val="0"/>
          <w:sz w:val="20"/>
        </w:rPr>
        <w:t>8 of 9 configurations</w:t>
      </w:r>
      <w:r>
        <w:rPr>
          <w:rFonts w:ascii="Times New Roman" w:hAnsi="Times New Roman"/>
          <w:b w:val="0"/>
          <w:i w:val="0"/>
          <w:sz w:val="20"/>
        </w:rPr>
        <w:t xml:space="preserve">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w:t>
      </w:r>
      <w:r>
        <w:rPr>
          <w:rFonts w:ascii="Times New Roman" w:hAnsi="Times New Roman"/>
          <w:b/>
          <w:i w:val="0"/>
          <w:sz w:val="20"/>
        </w:rPr>
        <w:t>on the BF16 build</w:t>
      </w:r>
      <w:r>
        <w:rPr>
          <w:rFonts w:ascii="Times New Roman" w:hAnsi="Times New Roman"/>
          <w:b w:val="0"/>
          <w:i w:val="0"/>
          <w:sz w:val="20"/>
        </w:rPr>
        <w:t xml:space="preserve"> (Appendix M.39). The shares of §5.5 are therefore scoped to the prompt language and to the </w:t>
      </w:r>
      <w:r>
        <w:rPr>
          <w:rFonts w:ascii="Times New Roman" w:hAnsi="Times New Roman"/>
          <w:b/>
          <w:i w:val="0"/>
          <w:sz w:val="20"/>
        </w:rPr>
        <w:t>one anchor build</w:t>
      </w:r>
      <w:r>
        <w:rPr>
          <w:rFonts w:ascii="Times New Roman" w:hAnsi="Times New Roman"/>
          <w:b w:val="0"/>
          <w:i w:val="0"/>
          <w:sz w:val="20"/>
        </w:rPr>
        <w:t xml:space="preserve"> measured here, not to the lineage (six of seven further families fall short; M.19.15).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from the same experiment: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near zero — three of twenty cells, reported as unmeasured rather than clipped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18–22 pp on the </w:t>
      </w:r>
      <w:r>
        <w:rPr>
          <w:rFonts w:ascii="Times New Roman" w:hAnsi="Times New Roman"/>
          <w:b/>
          <w:i w:val="0"/>
          <w:sz w:val="20"/>
        </w:rPr>
        <w:t>BF16</w:t>
      </w:r>
      <w:r>
        <w:rPr>
          <w:rFonts w:ascii="Times New Roman" w:hAnsi="Times New Roman"/>
          <w:b w:val="0"/>
          <w:i w:val="0"/>
          <w:sz w:val="20"/>
        </w:rPr>
        <w:t xml:space="preserve"> build, against </w:t>
      </w:r>
      <w:r>
        <w:rPr>
          <w:rFonts w:ascii="Times New Roman" w:hAnsi="Times New Roman"/>
          <w:b/>
          <w:i w:val="0"/>
          <w:sz w:val="20"/>
        </w:rPr>
        <w:t>15–26 pp</w:t>
      </w:r>
      <w:r>
        <w:rPr>
          <w:rFonts w:ascii="Times New Roman" w:hAnsi="Times New Roman"/>
          <w:b w:val="0"/>
          <w:i w:val="0"/>
          <w:sz w:val="20"/>
        </w:rPr>
        <w:t xml:space="preserve"> on the corpus's own </w:t>
      </w:r>
      <w:r>
        <w:rPr>
          <w:rFonts w:ascii="Times New Roman" w:hAnsi="Times New Roman"/>
          <w:b/>
          <w:i w:val="0"/>
          <w:sz w:val="20"/>
        </w:rPr>
        <w:t>third-party 4-bit</w:t>
      </w:r>
      <w:r>
        <w:rPr>
          <w:rFonts w:ascii="Times New Roman" w:hAnsi="Times New Roman"/>
          <w:b w:val="0"/>
          <w:i w:val="0"/>
          <w:sz w:val="20"/>
        </w:rPr>
        <w:t xml:space="preserve"> build, where two of the twenty cells stay outside the unit interval (Appendices M.19.16, M.46(c)).</w:t>
      </w:r>
    </w:p>
    <w:p>
      <w:r>
        <w:rPr>
          <w:rFonts w:ascii="Times New Roman" w:hAnsi="Times New Roman"/>
          <w:b/>
          <w:i w:val="0"/>
          <w:sz w:val="20"/>
        </w:rPr>
        <w:t>Domain composition is not systematic</w:t>
      </w:r>
      <w:r>
        <w:rPr>
          <w:rFonts w:ascii="Times New Roman" w:hAnsi="Times New Roman"/>
          <w:b w:val="0"/>
          <w:i w:val="0"/>
          <w:sz w:val="20"/>
        </w:rPr>
        <w:t>: the nine datasets were assembled to span a legibility range rather than sampled from a stated population, so domain-level statements describe these domains and are not estimates over a distribution.</w:t>
      </w:r>
    </w:p>
    <w:p>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 Appendix G.1 and G.2 list them with each criterion quoted as frozen. The rest are post hoc (including the choice of tiling level, weight set and aggregation convention), which is why both conventions and the weight-set range are reported wherever they diverge.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the separated-cluster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the dominant dense-scene failure is not directional but abstention;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with the convention under which it is read, because the two conventions differ by tens of percentage points on the same data. The second is a </w:t>
      </w:r>
      <w:r>
        <w:rPr>
          <w:rFonts w:ascii="Times New Roman" w:hAnsi="Times New Roman"/>
          <w:b/>
          <w:i w:val="0"/>
          <w:sz w:val="20"/>
        </w:rPr>
        <w:t>behavioural reading of the answered zero</w:t>
      </w:r>
      <w:r>
        <w:rPr>
          <w:rFonts w:ascii="Times New Roman" w:hAnsi="Times New Roman"/>
          <w:b w:val="0"/>
          <w:i w:val="0"/>
          <w:sz w:val="20"/>
        </w:rPr>
        <w:t xml:space="preserve">: the channel through which a model declines to answer is set by the output contract rather than by the lineage, so the outlet is a property of the serving configuration (§5.7). The spectrum replicates in its </w:t>
      </w:r>
      <w:r>
        <w:rPr>
          <w:rFonts w:ascii="Times New Roman" w:hAnsi="Times New Roman"/>
          <w:b/>
          <w:i w:val="0"/>
          <w:sz w:val="20"/>
        </w:rPr>
        <w:t>ordering</w:t>
      </w:r>
      <w:r>
        <w:rPr>
          <w:rFonts w:ascii="Times New Roman" w:hAnsi="Times New Roman"/>
          <w:b w:val="0"/>
          <w:i w:val="0"/>
          <w:sz w:val="20"/>
        </w:rPr>
        <w:t xml:space="preserve">, not its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rather than a measured rate (§7.7).</w:t>
      </w:r>
    </w:p>
    <w:p>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contrasts behind that boundary are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val="0"/>
          <w:i w:val="0"/>
          <w:sz w:val="20"/>
        </w:rPr>
        <w:t>Author contributions are declared by the corresponding author at submission, using the CRediT taxonomy.</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The image corpora are public datasets, cited above. The derived per-image prediction records, analysis scripts and run logs that reproduce every reported number are released at https://github.com/YBP2005/P3 (CC BY 4.0), with a per-file MD5 manifest.</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Narasimhan, H., Menon, A., Jitkrittum, W., et al. Plugin Estimators for Selective Classification with Out-of-Distribution Detection. preprint arXiv:2301.12386, 2023.</w:t>
      </w:r>
    </w:p>
    <w:p>
      <w:r>
        <w:rPr>
          <w:rFonts w:ascii="Times New Roman" w:hAnsi="Times New Roman"/>
          <w:b w:val="0"/>
          <w:i w:val="0"/>
          <w:sz w:val="20"/>
        </w:rPr>
        <w:t>3. Zhang, Y., Zhou, D., Chen, S., Gao, S., Ma, Y. Single-Image Crowd Counting via Multi-Column Convolutional Neural Network. CVPR 2016. https://doi.org/10.1109/CVPR.2016.70.</w:t>
      </w:r>
    </w:p>
    <w:p>
      <w:r>
        <w:rPr>
          <w:rFonts w:ascii="Times New Roman" w:hAnsi="Times New Roman"/>
          <w:b w:val="0"/>
          <w:i w:val="0"/>
          <w:sz w:val="20"/>
        </w:rPr>
        <w:t>4. Chen, Z., Wang, W., Cao, Y., et al. Expanding Performance Boundaries of Open-Source Multimodal Models with Model, Data, and Test-Time Scaling. preprint arXiv:2412.05271, 2024.</w:t>
      </w:r>
    </w:p>
    <w:p>
      <w:r>
        <w:rPr>
          <w:rFonts w:ascii="Times New Roman" w:hAnsi="Times New Roman"/>
          <w:b w:val="0"/>
          <w:i w:val="0"/>
          <w:sz w:val="20"/>
        </w:rPr>
        <w:t>5. Ranjan, V., Sharma, U., Nguyen, T., Hoai, M. Learning To Count Everything. CVPR 2021. preprint arXiv:2104.08391.</w:t>
      </w:r>
    </w:p>
    <w:p>
      <w:r>
        <w:rPr>
          <w:rFonts w:ascii="Times New Roman" w:hAnsi="Times New Roman"/>
          <w:b w:val="0"/>
          <w:i w:val="0"/>
          <w:sz w:val="20"/>
        </w:rPr>
        <w:t>6. Lempitsky, V., Zisserman, A. Learning To Count Objects in Images. NIPS 2010.</w:t>
      </w:r>
    </w:p>
    <w:p>
      <w:r>
        <w:rPr>
          <w:rFonts w:ascii="Times New Roman" w:hAnsi="Times New Roman"/>
          <w:b w:val="0"/>
          <w:i w:val="0"/>
          <w:sz w:val="20"/>
        </w:rPr>
        <w:t>7. Chen, Y.-Y., Guo, L.-Z. TriViewBench: Controlled Complexity Scaling for Multi-View Structural Reasoning in MLLMs. preprint arXiv:2606.26029, 2026.</w:t>
      </w:r>
    </w:p>
    <w:p>
      <w:r>
        <w:rPr>
          <w:rFonts w:ascii="Times New Roman" w:hAnsi="Times New Roman"/>
          <w:b w:val="0"/>
          <w:i w:val="0"/>
          <w:sz w:val="20"/>
        </w:rPr>
        <w:t>8.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9.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10. Chow, C. K. On optimum recognition error and reject tradeoff. IEEE Trans. Inf. Theory 16 (1970) 41-46. https://doi.org/10.1109/TIT.1970.1054406.</w:t>
      </w:r>
    </w:p>
    <w:p>
      <w:r>
        <w:rPr>
          <w:rFonts w:ascii="Times New Roman" w:hAnsi="Times New Roman"/>
          <w:b w:val="0"/>
          <w:i w:val="0"/>
          <w:sz w:val="20"/>
        </w:rPr>
        <w:t>11. Hendrycks, D., Gimpel, K. A Baseline for Detecting Misclassified and Out-of-Distribution Examples in Neural Networks. preprint arXiv:1610.02136, 2016.</w:t>
      </w:r>
    </w:p>
    <w:p>
      <w:r>
        <w:rPr>
          <w:rFonts w:ascii="Times New Roman" w:hAnsi="Times New Roman"/>
          <w:b w:val="0"/>
          <w:i w:val="0"/>
          <w:sz w:val="20"/>
        </w:rPr>
        <w:t>12. Madhusudhan, N., Yadav, V., Lacoste, A. Knowing When Not to Answer: Evaluating Abstention in Multimodal Reasoning Systems. preprint arXiv:2604.14799, 2026.</w:t>
      </w:r>
    </w:p>
    <w:p>
      <w:r>
        <w:rPr>
          <w:rFonts w:ascii="Times New Roman" w:hAnsi="Times New Roman"/>
          <w:b w:val="0"/>
          <w:i w:val="0"/>
          <w:sz w:val="20"/>
        </w:rPr>
        <w:t>13. Pramono, F., Cai, J., Kulkarni, S. TRAPSBench: Vision-Language Models Encode but Fail to Express Epistemic Restraint. COLM 2026. preprint arXiv:2608.13167.</w:t>
      </w:r>
    </w:p>
    <w:p>
      <w:r>
        <w:rPr>
          <w:rFonts w:ascii="Times New Roman" w:hAnsi="Times New Roman"/>
          <w:b w:val="0"/>
          <w:i w:val="0"/>
          <w:sz w:val="20"/>
        </w:rPr>
        <w:t>14. Ortiz, J. Explicit Abstention Knobs for Predictable Reliability in Video Question Answering. preprint arXiv:2601.00138, 2025.</w:t>
      </w:r>
    </w:p>
    <w:p>
      <w:r>
        <w:rPr>
          <w:rFonts w:ascii="Times New Roman" w:hAnsi="Times New Roman"/>
          <w:b w:val="0"/>
          <w:i w:val="0"/>
          <w:sz w:val="20"/>
        </w:rPr>
        <w:t>15. Zhang, H., Feng, Y., Zheng, S., et al. The Uncontrolled Variable: Vision-Language Model Refusal Responds to Image Presence in Ways Risk Cannot Explain. preprint arXiv:2609.26174, 2026.</w:t>
      </w:r>
    </w:p>
    <w:p>
      <w:r>
        <w:rPr>
          <w:rFonts w:ascii="Times New Roman" w:hAnsi="Times New Roman"/>
          <w:b w:val="0"/>
          <w:i w:val="0"/>
          <w:sz w:val="20"/>
        </w:rPr>
        <w:t>16.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17. Fu, Y., Li, F., Liu, X., et al. NumerosityVLM: A Cognitively Inspired Benchmark for Interpreting Numerosity Representations in VLMs. preprint arXiv:2608.15425, 2026.</w:t>
      </w:r>
    </w:p>
    <w:p>
      <w:r>
        <w:rPr>
          <w:rFonts w:ascii="Times New Roman" w:hAnsi="Times New Roman"/>
          <w:b w:val="0"/>
          <w:i w:val="0"/>
          <w:sz w:val="20"/>
        </w:rPr>
        <w:t>18. Yu, F.-S., Li, J., Wang, X., et al. Large, Complex, and Realistic Safety Clothing and Helmet Detection: Dataset and Method. preprint arXiv:2306.02098, 2023.</w:t>
      </w:r>
    </w:p>
    <w:p>
      <w:r>
        <w:rPr>
          <w:rFonts w:ascii="Times New Roman" w:hAnsi="Times New Roman"/>
          <w:b w:val="0"/>
          <w:i w:val="0"/>
          <w:sz w:val="20"/>
        </w:rPr>
        <w:t>19. Paiss, R., Ephrat, A., Tov, O., et al. Teaching CLIP to Count to Ten. ICCV 2023. https://doi.org/10.1109/ICCV51070.2023.00294.</w:t>
      </w:r>
    </w:p>
    <w:p>
      <w:r>
        <w:rPr>
          <w:rFonts w:ascii="Times New Roman" w:hAnsi="Times New Roman"/>
          <w:b w:val="0"/>
          <w:i w:val="0"/>
          <w:sz w:val="20"/>
        </w:rPr>
        <w:t>20. Acharya, M., Kafle, K., Kanan, C. TallyQA: Answering Complex Counting Questions. AAAI 2019. https://doi.org/10.1609/AAAI.V33I01.33018076.</w:t>
      </w:r>
    </w:p>
    <w:p>
      <w:r>
        <w:rPr>
          <w:rFonts w:ascii="Times New Roman" w:hAnsi="Times New Roman"/>
          <w:b w:val="0"/>
          <w:i w:val="0"/>
          <w:sz w:val="20"/>
        </w:rPr>
        <w:t>21. Djukic, N., Lukezic, A., Zavrtanik, V., et al. A Low-Shot Object Counting Network With Iterative Prototype Adaptation. ICCV 2023. preprint arXiv:2211.08217.</w:t>
      </w:r>
    </w:p>
    <w:p>
      <w:r>
        <w:rPr>
          <w:rFonts w:ascii="Times New Roman" w:hAnsi="Times New Roman"/>
          <w:b w:val="0"/>
          <w:i w:val="0"/>
          <w:sz w:val="20"/>
        </w:rPr>
        <w:t>22. Liu, C., Wu, H., Xie, W. Count Anything at Any Granularity. preprint arXiv:2605.10887, 2026.</w:t>
      </w:r>
    </w:p>
    <w:p>
      <w:r>
        <w:rPr>
          <w:rFonts w:ascii="Times New Roman" w:hAnsi="Times New Roman"/>
          <w:b w:val="0"/>
          <w:i w:val="0"/>
          <w:sz w:val="20"/>
        </w:rPr>
        <w:t>23. Huang, Z., Dai, M., Zhang, Y., et al. Point, Segment and Count: A Generalized Framework for Object Counting. CVPR 2024. preprint arXiv:2311.12386.</w:t>
      </w:r>
    </w:p>
    <w:p>
      <w:r>
        <w:rPr>
          <w:rFonts w:ascii="Times New Roman" w:hAnsi="Times New Roman"/>
          <w:b w:val="0"/>
          <w:i w:val="0"/>
          <w:sz w:val="20"/>
        </w:rPr>
        <w:t>24. El-Shangiti, A., Nurgazy, A., AlQuabeh, H., et al. The Count Is There, but Misaligned: Understanding and Correcting Counting Failures in VLMs. preprint arXiv:2607.09544, 2026.</w:t>
      </w:r>
    </w:p>
    <w:p>
      <w:r>
        <w:rPr>
          <w:rFonts w:ascii="Times New Roman" w:hAnsi="Times New Roman"/>
          <w:b w:val="0"/>
          <w:i w:val="0"/>
          <w:sz w:val="20"/>
        </w:rPr>
        <w:t>25. Anh, D., Irawan, P., Vo, T. Counting to Four is still a Chore for VLMs. preprint arXiv:2604.10039, 2026.</w:t>
      </w:r>
    </w:p>
    <w:p>
      <w:r>
        <w:rPr>
          <w:rFonts w:ascii="Times New Roman" w:hAnsi="Times New Roman"/>
          <w:b w:val="0"/>
          <w:i w:val="0"/>
          <w:sz w:val="20"/>
        </w:rPr>
        <w:t>26. Nguyen, G., Huang, Y., Hoai, M. Can Current AI Models Count What We Mean, Not What They See? A Benchmark and Systematic Evaluation (PairTally). preprint arXiv:2509.13939, 2025.</w:t>
      </w:r>
    </w:p>
    <w:p>
      <w:r>
        <w:rPr>
          <w:rFonts w:ascii="Times New Roman" w:hAnsi="Times New Roman"/>
          <w:b w:val="0"/>
          <w:i w:val="0"/>
          <w:sz w:val="20"/>
        </w:rPr>
        <w:t>27. Pang, X., Hou, Y., Wang, J., Sachan, M. Unveiling the Visual Counting Bottleneck in Vision-Language Models. ICML 2026. preprint arXiv:2605.30170.</w:t>
      </w:r>
    </w:p>
    <w:p>
      <w:r>
        <w:rPr>
          <w:rFonts w:ascii="Times New Roman" w:hAnsi="Times New Roman"/>
          <w:b w:val="0"/>
          <w:i w:val="0"/>
          <w:sz w:val="20"/>
        </w:rPr>
        <w:t>28. Pothiraj, A., Stengel-Eskin, E., Cho, J., et al. CAPTURe: Evaluating Spatial Reasoning in Vision Language Models via Occluded Object Counting. ICCV 2025. preprint arXiv:2504.15485.</w:t>
      </w:r>
    </w:p>
    <w:p>
      <w:r>
        <w:rPr>
          <w:rFonts w:ascii="Times New Roman" w:hAnsi="Times New Roman"/>
          <w:b w:val="0"/>
          <w:i w:val="0"/>
          <w:sz w:val="20"/>
        </w:rPr>
        <w:t>29. Guo, C., Pleiss, G., Sun, Y., et al. On Calibration of Modern Neural Networks. ICML 2017. preprint arXiv:1706.04599.</w:t>
      </w:r>
    </w:p>
    <w:p>
      <w:r>
        <w:rPr>
          <w:rFonts w:ascii="Times New Roman" w:hAnsi="Times New Roman"/>
          <w:b w:val="0"/>
          <w:i w:val="0"/>
          <w:sz w:val="20"/>
        </w:rPr>
        <w:t>30. Tamarapalli, J., Grover, R., Pande, N., et al. CountQA: How Well Do MLLMs Count in the Wild? preprint arXiv:2508.06585, 2025.</w:t>
      </w:r>
    </w:p>
    <w:p>
      <w:r>
        <w:rPr>
          <w:rFonts w:ascii="Times New Roman" w:hAnsi="Times New Roman"/>
          <w:b w:val="0"/>
          <w:i w:val="0"/>
          <w:sz w:val="20"/>
        </w:rPr>
        <w:t>31. Li, S., Chen, J., Sharma, K., et al. PushupBench: Your VLM is not good at counting pushups. preprint arXiv:2604.23407, 2026.</w:t>
      </w:r>
    </w:p>
    <w:p>
      <w:r>
        <w:rPr>
          <w:rFonts w:ascii="Times New Roman" w:hAnsi="Times New Roman"/>
          <w:b w:val="0"/>
          <w:i w:val="0"/>
          <w:sz w:val="20"/>
        </w:rPr>
        <w:t>32. Zhu, P., Wen, L., Du, D., et al. Detection and Tracking Meet Drones Challenge. IEEE TPAMI 44(11), 2022. https://doi.org/10.1109/TPAMI.2021.3119563.</w:t>
      </w:r>
    </w:p>
    <w:p>
      <w:r>
        <w:rPr>
          <w:rFonts w:ascii="Times New Roman" w:hAnsi="Times New Roman"/>
          <w:b w:val="0"/>
          <w:i w:val="0"/>
          <w:sz w:val="20"/>
        </w:rPr>
        <w:t>33. Wang, J., Yang, W., Guo, H., et al. Tiny Object Detection in Aerial Images. ICPR 2021. https://doi.org/10.1109/ICPR48806.2021.9413340.</w:t>
      </w:r>
    </w:p>
    <w:p>
      <w:r>
        <w:rPr>
          <w:rFonts w:ascii="Times New Roman" w:hAnsi="Times New Roman"/>
          <w:b w:val="0"/>
          <w:i w:val="0"/>
          <w:sz w:val="20"/>
        </w:rPr>
        <w:t>34. Tian, Y., Ye, Q., Doermann, D. YOLOv12: Attention-Centric Real-Time Object Detectors. NeurIPS 2025. https://doi.org/10.52202/085713-2627.</w:t>
      </w:r>
    </w:p>
    <w:p>
      <w:r>
        <w:rPr>
          <w:rFonts w:ascii="Times New Roman" w:hAnsi="Times New Roman"/>
          <w:b w:val="0"/>
          <w:i w:val="0"/>
          <w:sz w:val="20"/>
        </w:rPr>
        <w:t>35. Akyon, F., Altinuc, S., Temizel, A. Slicing Aided Hyper Inference and Fine-tuning for Small Object Detection. ICIP 2022. preprint arXiv:2202.06934.</w:t>
      </w:r>
    </w:p>
    <w:p>
      <w:r>
        <w:rPr>
          <w:rFonts w:ascii="Times New Roman" w:hAnsi="Times New Roman"/>
          <w:b w:val="0"/>
          <w:i w:val="0"/>
          <w:sz w:val="20"/>
        </w:rPr>
        <w:t>36. Lin, T.-Y., Maire, M., Belongie, S., et al. Microsoft COCO: Common Objects in Context. ECCV 2014. https://doi.org/10.1007/978-3-319-10602-1_48.</w:t>
      </w:r>
    </w:p>
    <w:p>
      <w:r>
        <w:rPr>
          <w:rFonts w:ascii="Times New Roman" w:hAnsi="Times New Roman"/>
          <w:b w:val="0"/>
          <w:i w:val="0"/>
          <w:sz w:val="20"/>
        </w:rPr>
        <w:t>37. Ren, S., He, K., Girshick, R., Sun, J. Faster R-CNN: Towards Real-Time Object Detection with Region Proposal Networks. IEEE TPAMI 39(6), 2017. https://doi.org/10.1109/TPAMI.2016.2577031.</w:t>
      </w:r>
    </w:p>
    <w:p>
      <w:r>
        <w:rPr>
          <w:rFonts w:ascii="Times New Roman" w:hAnsi="Times New Roman"/>
          <w:b w:val="0"/>
          <w:i w:val="0"/>
          <w:sz w:val="20"/>
        </w:rPr>
        <w:t>38. Lin, T.-Y., Goyal, P., Girshick, R., et al. Focal Loss for Dense Object Detection. ICCV 2017. https://doi.org/10.1109/ICCV.2017.324.</w:t>
      </w:r>
    </w:p>
    <w:p>
      <w:r>
        <w:rPr>
          <w:rFonts w:ascii="Times New Roman" w:hAnsi="Times New Roman"/>
          <w:b w:val="0"/>
          <w:i w:val="0"/>
          <w:sz w:val="20"/>
        </w:rPr>
        <w:t>39. Bai, S., Cai, Y., Chen, R., et al. Qwen3-VL Technical Report. preprint arXiv:2511.21631, 2025.</w:t>
      </w:r>
    </w:p>
    <w:p>
      <w:r>
        <w:rPr>
          <w:rFonts w:ascii="Times New Roman" w:hAnsi="Times New Roman"/>
          <w:b w:val="0"/>
          <w:i w:val="0"/>
          <w:sz w:val="20"/>
        </w:rPr>
        <w:t>40. Lin, J., Tang, J., Tang, H., et al. AWQ: Activation-aware Weight Quantization for LLM Compression and Acceleration. preprint arXiv:2306.00978, 2023.</w:t>
      </w:r>
    </w:p>
    <w:p>
      <w:r>
        <w:rPr>
          <w:rFonts w:ascii="Times New Roman" w:hAnsi="Times New Roman"/>
          <w:b w:val="0"/>
          <w:i w:val="0"/>
          <w:sz w:val="20"/>
        </w:rPr>
        <w:t>41. Frantar, E., Ashkboos, S., Hoefler, T., Alistarh, D. GPTQ: Accurate Post-Training Quantization for Generative Pre-trained Transformers. preprint arXiv:2210.17323, 2023.</w:t>
      </w:r>
    </w:p>
    <w:p>
      <w:r>
        <w:rPr>
          <w:rFonts w:ascii="Times New Roman" w:hAnsi="Times New Roman"/>
          <w:b w:val="0"/>
          <w:i w:val="0"/>
          <w:sz w:val="20"/>
        </w:rPr>
        <w:t>42. Bai, S., Chen, K., Liu, X., et al. Qwen2.5-VL Technical Report. preprint arXiv:2502.13923, 2025.</w:t>
      </w:r>
    </w:p>
    <w:p>
      <w:r>
        <w:rPr>
          <w:rFonts w:ascii="Times New Roman" w:hAnsi="Times New Roman"/>
          <w:b w:val="0"/>
          <w:i w:val="0"/>
          <w:sz w:val="20"/>
        </w:rPr>
        <w:t>43. Ma, Z., Wei, X., Hong, X., et al. Bayesian Loss for Crowd Count Estimation with Point Supervision. ICCV 2019. https://doi.org/10.1109/ICCV.2019.00624.</w:t>
      </w:r>
    </w:p>
    <w:p>
      <w:r>
        <w:rPr>
          <w:rFonts w:ascii="Times New Roman" w:hAnsi="Times New Roman"/>
          <w:b w:val="0"/>
          <w:i w:val="0"/>
          <w:sz w:val="20"/>
        </w:rPr>
        <w:t>44. Li, Y., Zhang, X., Chen, D. CSRNet: Dilated Convolutional Neural Networks for Understanding the Highly Congested Scenes. CVPR 2018. https://doi.org/10.1109/CVPR.2018.00120.</w:t>
      </w:r>
    </w:p>
    <w:p>
      <w:r>
        <w:rPr>
          <w:rFonts w:ascii="Times New Roman" w:hAnsi="Times New Roman"/>
          <w:b w:val="0"/>
          <w:i w:val="0"/>
          <w:sz w:val="20"/>
        </w:rPr>
        <w:t>45. Wang, B., Liu, H., Samaras, D., Nguyen, H. Distribution Matching for Crowd Counting. NeurIPS 2020. preprint arXiv:2009.13077.</w:t>
      </w:r>
    </w:p>
    <w:p>
      <w:r>
        <w:rPr>
          <w:rFonts w:ascii="Times New Roman" w:hAnsi="Times New Roman"/>
          <w:b w:val="0"/>
          <w:i w:val="0"/>
          <w:sz w:val="20"/>
        </w:rPr>
        <w:t>46. Han, H. Off-Target Effects of Response-Style Alignment in a Korean 27B Language Model. preprint arXiv:2609.11291, 2026.</w:t>
      </w:r>
    </w:p>
    <w:p>
      <w:r>
        <w:rPr>
          <w:rFonts w:ascii="Times New Roman" w:hAnsi="Times New Roman"/>
          <w:b w:val="0"/>
          <w:i w:val="0"/>
          <w:sz w:val="20"/>
        </w:rPr>
        <w:t>47. Idrees, H., Tayyab, M., Athrey, K., et al. Composition Loss for Counting, Density Map Estimation and Localization in Dense Crowds. ECCV 2018. https://doi.org/10.1007/978-3-030-01216-8_33.</w:t>
      </w:r>
    </w:p>
    <w:p>
      <w:r>
        <w:rPr>
          <w:rFonts w:ascii="Times New Roman" w:hAnsi="Times New Roman"/>
          <w:b w:val="0"/>
          <w:i w:val="0"/>
          <w:sz w:val="20"/>
        </w:rPr>
        <w:t>48. Ljosa, V., Sokolnicki, K. L., Carpenter, A. E. Annotated high-throughput microscopy image sets for validation. Nat. Methods, 2012. https://doi.org/10.1038/nmeth.2083.</w:t>
      </w:r>
    </w:p>
    <w:p>
      <w:r>
        <w:rPr>
          <w:rFonts w:ascii="Times New Roman" w:hAnsi="Times New Roman"/>
          <w:b w:val="0"/>
          <w:i w:val="0"/>
          <w:sz w:val="20"/>
        </w:rPr>
        <w:t>49. Becker, S., Weiss, S., Hübner, W., et al. Self-Aware Object Detection via Degradation Manifolds. preprint arXiv:2602.18394, 2026.</w:t>
      </w:r>
    </w:p>
    <w:p>
      <w:r>
        <w:rPr>
          <w:rFonts w:ascii="Times New Roman" w:hAnsi="Times New Roman"/>
          <w:b w:val="0"/>
          <w:i w:val="0"/>
          <w:sz w:val="20"/>
        </w:rPr>
        <w:t>50.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51. Sindagi, V. A., Yasarla, R., Patel, V. M. JHU-CROWD++: Large-Scale Crowd Counting Dataset and A Benchmark Method. IEEE Trans. Pattern Anal. Mach. Intell., 2020. https://doi.org/10.1109/TPAMI.2020.3035969.</w:t>
      </w:r>
    </w:p>
    <w:p>
      <w:r>
        <w:rPr>
          <w:rFonts w:ascii="Times New Roman" w:hAnsi="Times New Roman"/>
          <w:b w:val="0"/>
          <w:i w:val="0"/>
          <w:sz w:val="20"/>
        </w:rPr>
        <w:t>52. Yuan, J., Li, H., Ding, X., et al. Understanding and Mitigating Numerical Sources of Nondeterminism in LLM Inference. preprint arXiv:2506.09501, 2025.</w:t>
      </w:r>
    </w:p>
    <w:p>
      <w:r>
        <w:rPr>
          <w:rFonts w:ascii="Times New Roman" w:hAnsi="Times New Roman"/>
          <w:b w:val="0"/>
          <w:i w:val="0"/>
          <w:sz w:val="20"/>
        </w:rPr>
        <w:t>53. Fu, T., Martínez, G., Conde, J., et al. Beyond Reproducibility: Token Probabilities Expose Large Language Model Nondeterminism. IEEE Trans. Comput., 2026. preprint arXiv:2601.06118.</w:t>
      </w:r>
    </w:p>
    <w:p>
      <w:r>
        <w:rPr>
          <w:rFonts w:ascii="Times New Roman" w:hAnsi="Times New Roman"/>
          <w:b w:val="0"/>
          <w:i w:val="0"/>
          <w:sz w:val="20"/>
        </w:rPr>
        <w:t>54.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55. Mustahsan, Z., Lim, A., Anand, M., et al. Stochasticity in Agentic Evaluations: Quantifying Inconsistency with Intraclass Correlation. preprint arXiv:2512.06710, 2025.</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tables, protocols, convention notes and pre-registered criteria moved out of the main text are provided as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w:t>
      </w:r>
      <w:r>
        <w:rPr>
          <w:rFonts w:ascii="Times New Roman" w:hAnsi="Times New Roman"/>
          <w:b w:val="0"/>
          <w:i w:val="0"/>
          <w:sz w:val="20"/>
        </w:rPr>
        <w:t>); where the two disagree,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